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9A01576" w:rsidR="00F110CD" w:rsidRPr="002B6050" w:rsidRDefault="00F110CD" w:rsidP="005832EF">
      <w:pPr>
        <w:pStyle w:val="Header"/>
        <w:tabs>
          <w:tab w:val="right" w:pos="9639"/>
        </w:tabs>
        <w:rPr>
          <w:bCs/>
          <w:noProof w:val="0"/>
          <w:sz w:val="24"/>
          <w:szCs w:val="24"/>
        </w:rPr>
      </w:pPr>
      <w:bookmarkStart w:id="0" w:name="_Hlk37418177"/>
      <w:r w:rsidRPr="002B6050">
        <w:rPr>
          <w:bCs/>
          <w:noProof w:val="0"/>
          <w:sz w:val="24"/>
          <w:szCs w:val="24"/>
        </w:rPr>
        <w:t>3GPP TSG RA</w:t>
      </w:r>
      <w:r w:rsidR="00BA1872" w:rsidRPr="002B6050">
        <w:rPr>
          <w:bCs/>
          <w:noProof w:val="0"/>
          <w:sz w:val="24"/>
          <w:szCs w:val="24"/>
        </w:rPr>
        <w:t xml:space="preserve">N WG1 </w:t>
      </w:r>
      <w:r w:rsidR="00B65452" w:rsidRPr="002B6050">
        <w:rPr>
          <w:bCs/>
          <w:noProof w:val="0"/>
          <w:sz w:val="24"/>
          <w:szCs w:val="24"/>
        </w:rPr>
        <w:t>#</w:t>
      </w:r>
      <w:r w:rsidR="00191E79" w:rsidRPr="002B6050">
        <w:rPr>
          <w:bCs/>
          <w:noProof w:val="0"/>
          <w:sz w:val="24"/>
          <w:szCs w:val="24"/>
        </w:rPr>
        <w:t>10</w:t>
      </w:r>
      <w:r w:rsidR="00500573" w:rsidRPr="002B6050">
        <w:rPr>
          <w:bCs/>
          <w:noProof w:val="0"/>
          <w:sz w:val="24"/>
          <w:szCs w:val="24"/>
        </w:rPr>
        <w:t>4</w:t>
      </w:r>
      <w:r w:rsidR="00DE3742">
        <w:rPr>
          <w:bCs/>
          <w:noProof w:val="0"/>
          <w:sz w:val="24"/>
          <w:szCs w:val="24"/>
        </w:rPr>
        <w:t>-e</w:t>
      </w:r>
      <w:r w:rsidR="001348FE" w:rsidRPr="002B6050">
        <w:rPr>
          <w:bCs/>
          <w:noProof w:val="0"/>
          <w:sz w:val="24"/>
          <w:szCs w:val="24"/>
        </w:rPr>
        <w:tab/>
      </w:r>
      <w:r w:rsidR="00BA1872" w:rsidRPr="002B6050">
        <w:rPr>
          <w:bCs/>
          <w:noProof w:val="0"/>
          <w:sz w:val="24"/>
          <w:szCs w:val="24"/>
        </w:rPr>
        <w:t>R1-</w:t>
      </w:r>
      <w:r w:rsidR="00191E79" w:rsidRPr="002B6050">
        <w:rPr>
          <w:bCs/>
          <w:noProof w:val="0"/>
          <w:sz w:val="24"/>
          <w:szCs w:val="24"/>
        </w:rPr>
        <w:t>2</w:t>
      </w:r>
      <w:r w:rsidR="00500573" w:rsidRPr="002B6050">
        <w:rPr>
          <w:bCs/>
          <w:noProof w:val="0"/>
          <w:sz w:val="24"/>
          <w:szCs w:val="24"/>
        </w:rPr>
        <w:t>1</w:t>
      </w:r>
      <w:r w:rsidR="003D7EA4">
        <w:rPr>
          <w:bCs/>
          <w:noProof w:val="0"/>
          <w:sz w:val="24"/>
          <w:szCs w:val="24"/>
        </w:rPr>
        <w:t>01711</w:t>
      </w:r>
    </w:p>
    <w:p w14:paraId="30E02940" w14:textId="1AF13B85" w:rsidR="00CA26CE" w:rsidRPr="002B6050" w:rsidRDefault="002778BD" w:rsidP="005832EF">
      <w:pPr>
        <w:pStyle w:val="Header"/>
        <w:rPr>
          <w:bCs/>
          <w:noProof w:val="0"/>
          <w:sz w:val="24"/>
          <w:szCs w:val="24"/>
        </w:rPr>
      </w:pPr>
      <w:r w:rsidRPr="002B6050">
        <w:rPr>
          <w:bCs/>
          <w:noProof w:val="0"/>
          <w:sz w:val="24"/>
          <w:szCs w:val="24"/>
        </w:rPr>
        <w:t xml:space="preserve">e-Meeting, </w:t>
      </w:r>
      <w:r w:rsidR="00500573" w:rsidRPr="002B6050">
        <w:rPr>
          <w:bCs/>
          <w:noProof w:val="0"/>
          <w:sz w:val="24"/>
          <w:szCs w:val="24"/>
        </w:rPr>
        <w:t>January 25</w:t>
      </w:r>
      <w:r w:rsidR="00500573" w:rsidRPr="002B6050">
        <w:rPr>
          <w:bCs/>
          <w:noProof w:val="0"/>
          <w:sz w:val="24"/>
          <w:szCs w:val="24"/>
          <w:vertAlign w:val="superscript"/>
        </w:rPr>
        <w:t>th</w:t>
      </w:r>
      <w:r w:rsidR="00500573" w:rsidRPr="002B6050">
        <w:rPr>
          <w:bCs/>
          <w:noProof w:val="0"/>
          <w:sz w:val="24"/>
          <w:szCs w:val="24"/>
        </w:rPr>
        <w:t xml:space="preserve"> </w:t>
      </w:r>
      <w:r w:rsidR="00451BAE" w:rsidRPr="002B6050">
        <w:rPr>
          <w:bCs/>
          <w:noProof w:val="0"/>
          <w:sz w:val="24"/>
          <w:szCs w:val="24"/>
        </w:rPr>
        <w:t xml:space="preserve">– </w:t>
      </w:r>
      <w:r w:rsidR="00500573" w:rsidRPr="002B6050">
        <w:rPr>
          <w:bCs/>
          <w:noProof w:val="0"/>
          <w:sz w:val="24"/>
          <w:szCs w:val="24"/>
        </w:rPr>
        <w:t>February 5</w:t>
      </w:r>
      <w:r w:rsidR="00500573" w:rsidRPr="002B6050">
        <w:rPr>
          <w:bCs/>
          <w:noProof w:val="0"/>
          <w:sz w:val="24"/>
          <w:szCs w:val="24"/>
          <w:vertAlign w:val="superscript"/>
        </w:rPr>
        <w:t>th</w:t>
      </w:r>
      <w:r w:rsidRPr="002B6050">
        <w:rPr>
          <w:bCs/>
          <w:noProof w:val="0"/>
          <w:sz w:val="24"/>
          <w:szCs w:val="24"/>
        </w:rPr>
        <w:t>, 202</w:t>
      </w:r>
      <w:r w:rsidR="00500573" w:rsidRPr="002B6050">
        <w:rPr>
          <w:bCs/>
          <w:noProof w:val="0"/>
          <w:sz w:val="24"/>
          <w:szCs w:val="24"/>
        </w:rPr>
        <w:t>1</w:t>
      </w:r>
    </w:p>
    <w:bookmarkEnd w:id="0"/>
    <w:p w14:paraId="2CFE1919" w14:textId="77777777" w:rsidR="00850D96" w:rsidRPr="002B6050" w:rsidRDefault="00850D96" w:rsidP="005832EF">
      <w:pPr>
        <w:pStyle w:val="Header"/>
        <w:rPr>
          <w:bCs/>
          <w:noProof w:val="0"/>
          <w:sz w:val="24"/>
          <w:lang w:eastAsia="ja-JP"/>
        </w:rPr>
      </w:pPr>
    </w:p>
    <w:p w14:paraId="30E02941" w14:textId="43E7DF4E" w:rsidR="0034111C" w:rsidRPr="002B6050" w:rsidRDefault="0034111C" w:rsidP="005832EF">
      <w:pPr>
        <w:pStyle w:val="CRCoverPage"/>
        <w:rPr>
          <w:rFonts w:cs="Arial"/>
          <w:b/>
          <w:bCs/>
          <w:sz w:val="24"/>
          <w:szCs w:val="24"/>
          <w:lang w:val="en-US" w:eastAsia="ja-JP"/>
        </w:rPr>
      </w:pPr>
      <w:r w:rsidRPr="002B6050">
        <w:rPr>
          <w:rFonts w:cs="Arial"/>
          <w:b/>
          <w:bCs/>
          <w:sz w:val="24"/>
          <w:szCs w:val="24"/>
          <w:lang w:val="en-US"/>
        </w:rPr>
        <w:t>Agenda item:</w:t>
      </w:r>
      <w:r w:rsidRPr="002B6050">
        <w:rPr>
          <w:rFonts w:cs="Arial"/>
          <w:b/>
          <w:bCs/>
          <w:sz w:val="24"/>
          <w:lang w:val="en-US"/>
        </w:rPr>
        <w:tab/>
      </w:r>
      <w:r w:rsidRPr="002B6050">
        <w:rPr>
          <w:rFonts w:cs="Arial"/>
          <w:b/>
          <w:bCs/>
          <w:sz w:val="24"/>
          <w:lang w:val="en-US"/>
        </w:rPr>
        <w:tab/>
      </w:r>
      <w:r w:rsidR="00F549B8" w:rsidRPr="002B6050">
        <w:rPr>
          <w:rFonts w:cs="Arial"/>
          <w:b/>
          <w:bCs/>
          <w:sz w:val="24"/>
          <w:szCs w:val="24"/>
          <w:lang w:val="en-US"/>
        </w:rPr>
        <w:t>8.8.1.2</w:t>
      </w:r>
    </w:p>
    <w:p w14:paraId="30E02942" w14:textId="11CBDC88" w:rsidR="00E128F2" w:rsidRPr="002B6050" w:rsidRDefault="0034111C" w:rsidP="005832EF">
      <w:pPr>
        <w:tabs>
          <w:tab w:val="left" w:pos="1985"/>
        </w:tabs>
        <w:spacing w:after="120"/>
        <w:ind w:left="1985" w:hanging="1985"/>
        <w:rPr>
          <w:rFonts w:ascii="Arial" w:hAnsi="Arial" w:cs="Arial"/>
          <w:b/>
          <w:bCs/>
          <w:sz w:val="24"/>
          <w:szCs w:val="24"/>
        </w:rPr>
      </w:pPr>
      <w:r w:rsidRPr="002B6050">
        <w:rPr>
          <w:rFonts w:ascii="Arial" w:hAnsi="Arial" w:cs="Arial"/>
          <w:b/>
          <w:bCs/>
          <w:sz w:val="24"/>
          <w:szCs w:val="24"/>
        </w:rPr>
        <w:t>Source:</w:t>
      </w:r>
      <w:r w:rsidRPr="002B6050">
        <w:rPr>
          <w:rFonts w:ascii="Arial" w:hAnsi="Arial" w:cs="Arial"/>
          <w:b/>
          <w:bCs/>
          <w:sz w:val="24"/>
        </w:rPr>
        <w:tab/>
      </w:r>
      <w:r w:rsidR="00013455" w:rsidRPr="002B6050">
        <w:rPr>
          <w:rFonts w:ascii="Arial" w:hAnsi="Arial" w:cs="Arial"/>
          <w:b/>
          <w:bCs/>
          <w:sz w:val="24"/>
          <w:szCs w:val="24"/>
        </w:rPr>
        <w:t xml:space="preserve">Nokia, </w:t>
      </w:r>
      <w:r w:rsidR="00E67802" w:rsidRPr="002B6050">
        <w:rPr>
          <w:rFonts w:ascii="Arial" w:hAnsi="Arial" w:cs="Arial"/>
          <w:b/>
          <w:bCs/>
          <w:sz w:val="24"/>
          <w:szCs w:val="24"/>
        </w:rPr>
        <w:t>Nokia</w:t>
      </w:r>
      <w:r w:rsidR="00013455" w:rsidRPr="002B6050">
        <w:rPr>
          <w:rFonts w:ascii="Arial" w:hAnsi="Arial" w:cs="Arial"/>
          <w:b/>
          <w:bCs/>
          <w:sz w:val="24"/>
          <w:szCs w:val="24"/>
        </w:rPr>
        <w:t xml:space="preserve"> Shanghai Bell</w:t>
      </w:r>
    </w:p>
    <w:p w14:paraId="30E02943" w14:textId="74FDDDF2" w:rsidR="0034111C" w:rsidRPr="002B6050" w:rsidRDefault="0034111C" w:rsidP="005832EF">
      <w:pPr>
        <w:ind w:left="1985" w:hanging="1985"/>
        <w:rPr>
          <w:rFonts w:ascii="Arial" w:hAnsi="Arial" w:cs="Arial"/>
          <w:b/>
          <w:bCs/>
          <w:sz w:val="24"/>
          <w:szCs w:val="24"/>
        </w:rPr>
      </w:pPr>
      <w:r w:rsidRPr="002B6050">
        <w:rPr>
          <w:rFonts w:ascii="Arial" w:hAnsi="Arial" w:cs="Arial"/>
          <w:b/>
          <w:bCs/>
          <w:sz w:val="24"/>
          <w:szCs w:val="24"/>
        </w:rPr>
        <w:t>Title:</w:t>
      </w:r>
      <w:r w:rsidRPr="002B6050">
        <w:rPr>
          <w:rFonts w:ascii="Arial" w:hAnsi="Arial" w:cs="Arial"/>
          <w:b/>
          <w:bCs/>
          <w:sz w:val="24"/>
        </w:rPr>
        <w:tab/>
      </w:r>
      <w:r w:rsidR="006E0113" w:rsidRPr="002B6050">
        <w:rPr>
          <w:rFonts w:ascii="Arial" w:hAnsi="Arial" w:cs="Arial"/>
          <w:b/>
          <w:bCs/>
          <w:sz w:val="24"/>
        </w:rPr>
        <w:t>Transport block processing for PUSCH coverage enhancements</w:t>
      </w:r>
    </w:p>
    <w:p w14:paraId="30E02944" w14:textId="60B6B0C7" w:rsidR="0034111C" w:rsidRPr="002B6050" w:rsidRDefault="0034111C" w:rsidP="005832EF">
      <w:pPr>
        <w:rPr>
          <w:rFonts w:ascii="Arial" w:hAnsi="Arial" w:cs="Arial"/>
          <w:b/>
          <w:bCs/>
          <w:sz w:val="24"/>
          <w:szCs w:val="24"/>
        </w:rPr>
      </w:pPr>
      <w:r w:rsidRPr="002B6050">
        <w:rPr>
          <w:rFonts w:ascii="Arial" w:hAnsi="Arial" w:cs="Arial"/>
          <w:b/>
          <w:bCs/>
          <w:sz w:val="24"/>
          <w:szCs w:val="24"/>
        </w:rPr>
        <w:t xml:space="preserve">Document </w:t>
      </w:r>
      <w:r w:rsidR="3E61DC49" w:rsidRPr="002B6050">
        <w:rPr>
          <w:rFonts w:ascii="Arial" w:hAnsi="Arial" w:cs="Arial"/>
          <w:b/>
          <w:bCs/>
          <w:sz w:val="24"/>
          <w:szCs w:val="24"/>
        </w:rPr>
        <w:t>for:</w:t>
      </w:r>
      <w:r w:rsidRPr="002B6050">
        <w:rPr>
          <w:rFonts w:ascii="Arial" w:hAnsi="Arial" w:cs="Arial"/>
          <w:b/>
          <w:bCs/>
          <w:sz w:val="24"/>
        </w:rPr>
        <w:tab/>
      </w:r>
      <w:r w:rsidR="00220615" w:rsidRPr="002B6050">
        <w:rPr>
          <w:rFonts w:ascii="Arial" w:hAnsi="Arial" w:cs="Arial"/>
          <w:b/>
          <w:bCs/>
          <w:sz w:val="24"/>
        </w:rPr>
        <w:tab/>
      </w:r>
      <w:r w:rsidRPr="002B6050">
        <w:rPr>
          <w:rFonts w:ascii="Arial" w:hAnsi="Arial" w:cs="Arial"/>
          <w:b/>
          <w:bCs/>
          <w:sz w:val="24"/>
          <w:szCs w:val="24"/>
        </w:rPr>
        <w:t>Discussion and Decision</w:t>
      </w:r>
      <w:bookmarkStart w:id="1" w:name="_GoBack"/>
      <w:bookmarkEnd w:id="1"/>
    </w:p>
    <w:p w14:paraId="7CF7938E" w14:textId="7E19F756" w:rsidR="00ED1327" w:rsidRPr="002B6050" w:rsidRDefault="00EE7FA7" w:rsidP="005832EF">
      <w:pPr>
        <w:pStyle w:val="Heading1"/>
        <w:rPr>
          <w:lang w:val="en-US"/>
        </w:rPr>
      </w:pPr>
      <w:r w:rsidRPr="002B6050">
        <w:rPr>
          <w:lang w:val="en-US"/>
        </w:rPr>
        <w:t>Introduction</w:t>
      </w:r>
    </w:p>
    <w:p w14:paraId="624904FC" w14:textId="7CB1BF03" w:rsidR="0038211C" w:rsidRPr="002B6050" w:rsidRDefault="0038211C" w:rsidP="005832EF">
      <w:pPr>
        <w:spacing w:after="120"/>
        <w:jc w:val="both"/>
        <w:rPr>
          <w:szCs w:val="22"/>
        </w:rPr>
      </w:pPr>
      <w:bookmarkStart w:id="2" w:name="_Hlk510705081"/>
      <w:r w:rsidRPr="002B6050">
        <w:rPr>
          <w:szCs w:val="22"/>
        </w:rPr>
        <w:t>The following can be noted from the work item description (WID) for Rel-17 coverage enhancement</w:t>
      </w:r>
      <w:r w:rsidR="00040478">
        <w:rPr>
          <w:szCs w:val="22"/>
        </w:rPr>
        <w:t xml:space="preserve"> </w:t>
      </w:r>
      <w:r w:rsidR="00772144">
        <w:rPr>
          <w:szCs w:val="22"/>
        </w:rPr>
        <w:fldChar w:fldCharType="begin"/>
      </w:r>
      <w:r w:rsidR="00772144">
        <w:rPr>
          <w:szCs w:val="22"/>
        </w:rPr>
        <w:instrText xml:space="preserve"> REF _Ref61275306 \r \h </w:instrText>
      </w:r>
      <w:r w:rsidR="00772144">
        <w:rPr>
          <w:szCs w:val="22"/>
        </w:rPr>
      </w:r>
      <w:r w:rsidR="00772144">
        <w:rPr>
          <w:szCs w:val="22"/>
        </w:rPr>
        <w:fldChar w:fldCharType="separate"/>
      </w:r>
      <w:r w:rsidR="00772144">
        <w:rPr>
          <w:szCs w:val="22"/>
        </w:rPr>
        <w:t>[1]</w:t>
      </w:r>
      <w:r w:rsidR="00772144">
        <w:rPr>
          <w:szCs w:val="22"/>
        </w:rPr>
        <w:fldChar w:fldCharType="end"/>
      </w:r>
      <w:r w:rsidRPr="002B6050">
        <w:rPr>
          <w:szCs w:val="22"/>
        </w:rPr>
        <w:t>:</w:t>
      </w:r>
    </w:p>
    <w:p w14:paraId="2D24AACF" w14:textId="77777777" w:rsidR="00737EEE" w:rsidRPr="002B6050" w:rsidRDefault="00737EEE" w:rsidP="005832EF">
      <w:pPr>
        <w:numPr>
          <w:ilvl w:val="1"/>
          <w:numId w:val="28"/>
        </w:numPr>
        <w:overflowPunct/>
        <w:autoSpaceDE/>
        <w:autoSpaceDN/>
        <w:adjustRightInd/>
        <w:spacing w:before="120" w:after="120"/>
        <w:ind w:hanging="357"/>
        <w:jc w:val="both"/>
        <w:textAlignment w:val="auto"/>
        <w:rPr>
          <w:i/>
          <w:iCs/>
          <w:szCs w:val="22"/>
        </w:rPr>
      </w:pPr>
      <w:r w:rsidRPr="002B6050">
        <w:rPr>
          <w:i/>
          <w:iCs/>
          <w:szCs w:val="22"/>
        </w:rPr>
        <w:t>Specify mechanism(s) to support TB processing over multi-slot PUSCH [RAN1]</w:t>
      </w:r>
    </w:p>
    <w:p w14:paraId="72B98F5B" w14:textId="77777777" w:rsidR="00737EEE" w:rsidRPr="00A20D73" w:rsidRDefault="00737EEE" w:rsidP="005832EF">
      <w:pPr>
        <w:numPr>
          <w:ilvl w:val="2"/>
          <w:numId w:val="28"/>
        </w:numPr>
        <w:overflowPunct/>
        <w:autoSpaceDE/>
        <w:autoSpaceDN/>
        <w:adjustRightInd/>
        <w:spacing w:before="120" w:after="120"/>
        <w:jc w:val="both"/>
        <w:textAlignment w:val="auto"/>
        <w:rPr>
          <w:i/>
          <w:iCs/>
          <w:szCs w:val="22"/>
        </w:rPr>
      </w:pPr>
      <w:r w:rsidRPr="00A20D73">
        <w:rPr>
          <w:i/>
          <w:iCs/>
          <w:szCs w:val="22"/>
        </w:rPr>
        <w:t xml:space="preserve">TBS determined based on multiple slots and transmitted over multiple slots. </w:t>
      </w:r>
    </w:p>
    <w:p w14:paraId="47F2A8DE" w14:textId="7B76ABD6" w:rsidR="008D6A2C" w:rsidRPr="003D7EA4" w:rsidRDefault="00737EEE" w:rsidP="003D7EA4">
      <w:pPr>
        <w:spacing w:before="180"/>
        <w:jc w:val="both"/>
        <w:rPr>
          <w:szCs w:val="22"/>
        </w:rPr>
      </w:pPr>
      <w:r w:rsidRPr="00236501">
        <w:rPr>
          <w:szCs w:val="22"/>
        </w:rPr>
        <w:t xml:space="preserve">In this document, we </w:t>
      </w:r>
      <w:r w:rsidR="00773FAA" w:rsidRPr="00236501">
        <w:rPr>
          <w:szCs w:val="22"/>
        </w:rPr>
        <w:t>focus on</w:t>
      </w:r>
      <w:r w:rsidRPr="00236501">
        <w:rPr>
          <w:szCs w:val="22"/>
        </w:rPr>
        <w:t xml:space="preserve"> potential issues and the associated specification works for specifying th</w:t>
      </w:r>
      <w:r w:rsidR="000E589E" w:rsidRPr="00236501">
        <w:rPr>
          <w:szCs w:val="22"/>
        </w:rPr>
        <w:t>is</w:t>
      </w:r>
      <w:r w:rsidRPr="00236501">
        <w:rPr>
          <w:szCs w:val="22"/>
        </w:rPr>
        <w:t xml:space="preserve"> new feature in Rel-17.</w:t>
      </w:r>
    </w:p>
    <w:p w14:paraId="71230483" w14:textId="72F9C930" w:rsidR="00305297" w:rsidRPr="002B6050" w:rsidRDefault="007820D0" w:rsidP="005832EF">
      <w:pPr>
        <w:pStyle w:val="Heading1"/>
        <w:rPr>
          <w:lang w:val="en-US"/>
        </w:rPr>
      </w:pPr>
      <w:r w:rsidRPr="002B6050">
        <w:rPr>
          <w:lang w:val="en-US"/>
        </w:rPr>
        <w:t>Discussion</w:t>
      </w:r>
    </w:p>
    <w:p w14:paraId="31D1D871" w14:textId="7A98C103" w:rsidR="003D7EA4" w:rsidRDefault="003D7EA4" w:rsidP="003D7EA4">
      <w:pPr>
        <w:jc w:val="both"/>
        <w:rPr>
          <w:rFonts w:cs="Arial"/>
          <w:szCs w:val="22"/>
        </w:rPr>
      </w:pPr>
      <w:r w:rsidRPr="002B6050">
        <w:rPr>
          <w:szCs w:val="22"/>
        </w:rPr>
        <w:t>T</w:t>
      </w:r>
      <w:r>
        <w:rPr>
          <w:szCs w:val="22"/>
        </w:rPr>
        <w:t>B processing over multiples slots</w:t>
      </w:r>
      <w:r w:rsidRPr="002B6050">
        <w:rPr>
          <w:szCs w:val="22"/>
        </w:rPr>
        <w:t xml:space="preserve"> allows a single transport block to be transmitted on PUSCH resources across multiple slots (</w:t>
      </w:r>
      <w:r w:rsidRPr="00A931B2">
        <w:rPr>
          <w:b/>
          <w:bCs/>
          <w:szCs w:val="22"/>
        </w:rPr>
        <w:t>referred to as multi-slot TB in this document).</w:t>
      </w:r>
      <w:r w:rsidRPr="002B6050">
        <w:rPr>
          <w:szCs w:val="22"/>
        </w:rPr>
        <w:t xml:space="preserve"> </w:t>
      </w:r>
      <w:r w:rsidRPr="002B6050">
        <w:rPr>
          <w:rFonts w:cs="Arial"/>
          <w:szCs w:val="22"/>
        </w:rPr>
        <w:t>When using resources across multiple slots for transmitting a single TB there are two possible choices for selecting the number of PRBs</w:t>
      </w:r>
      <w:r>
        <w:rPr>
          <w:rFonts w:cs="Arial"/>
          <w:szCs w:val="22"/>
        </w:rPr>
        <w:t>:</w:t>
      </w:r>
      <w:r w:rsidRPr="002B6050">
        <w:rPr>
          <w:rFonts w:cs="Arial"/>
          <w:szCs w:val="22"/>
        </w:rPr>
        <w:t xml:space="preserve"> </w:t>
      </w:r>
    </w:p>
    <w:p w14:paraId="5A6942FD" w14:textId="77777777" w:rsidR="003D7EA4" w:rsidRPr="0070360D" w:rsidRDefault="003D7EA4" w:rsidP="003D7EA4">
      <w:pPr>
        <w:pStyle w:val="ListParagraph"/>
        <w:numPr>
          <w:ilvl w:val="0"/>
          <w:numId w:val="44"/>
        </w:numPr>
        <w:jc w:val="both"/>
        <w:rPr>
          <w:szCs w:val="22"/>
          <w:lang w:val="en-US"/>
        </w:rPr>
      </w:pPr>
      <w:r w:rsidRPr="0070360D">
        <w:rPr>
          <w:rFonts w:cs="Arial"/>
          <w:szCs w:val="22"/>
          <w:lang w:val="en-US"/>
        </w:rPr>
        <w:t>The same number of PRBs can be allocated as in case the TBS is determined by the resource within a single slot (referred to as single-slot TB). In this case, the gain of multi-slot TB comes from the coding rate since the coding rate of multi-slot TB is smaller than the one of single-slot TB due to more allocated resource in time-domain.</w:t>
      </w:r>
    </w:p>
    <w:p w14:paraId="5F1E8B46" w14:textId="1F0AB9E9" w:rsidR="003D7EA4" w:rsidRPr="0070360D" w:rsidRDefault="003D7EA4" w:rsidP="003D7EA4">
      <w:pPr>
        <w:pStyle w:val="ListParagraph"/>
        <w:numPr>
          <w:ilvl w:val="0"/>
          <w:numId w:val="44"/>
        </w:numPr>
        <w:spacing w:after="180"/>
        <w:ind w:left="714" w:hanging="357"/>
        <w:jc w:val="both"/>
        <w:rPr>
          <w:szCs w:val="22"/>
          <w:lang w:val="en-US"/>
        </w:rPr>
      </w:pPr>
      <w:r w:rsidRPr="0070360D">
        <w:rPr>
          <w:rFonts w:cs="Arial"/>
          <w:szCs w:val="22"/>
          <w:lang w:val="en-US"/>
        </w:rPr>
        <w:t xml:space="preserve">A smaller number of PRBs can be allocated such that the coding rates in case of single-slot and multi-slot TB are the same. In this case, link budget gain is achieved thanks to the smaller noise power offered by the reduction of occupied bandwidth. </w:t>
      </w:r>
    </w:p>
    <w:p w14:paraId="3EEFB648" w14:textId="03A04C8C" w:rsidR="00E06D8E" w:rsidRDefault="008A4CEF" w:rsidP="005832EF">
      <w:pPr>
        <w:jc w:val="both"/>
        <w:rPr>
          <w:szCs w:val="22"/>
        </w:rPr>
      </w:pPr>
      <w:r>
        <w:rPr>
          <w:szCs w:val="22"/>
        </w:rPr>
        <w:t>A</w:t>
      </w:r>
      <w:r w:rsidRPr="002B6050">
        <w:rPr>
          <w:szCs w:val="22"/>
        </w:rPr>
        <w:t>s mentioned in the WID, there are two main aspects that need to be considered for specifying this new feature</w:t>
      </w:r>
      <w:r w:rsidR="00A06404">
        <w:rPr>
          <w:szCs w:val="22"/>
        </w:rPr>
        <w:t>:</w:t>
      </w:r>
      <w:r w:rsidRPr="002B6050">
        <w:rPr>
          <w:szCs w:val="22"/>
        </w:rPr>
        <w:t xml:space="preserve"> </w:t>
      </w:r>
      <w:r w:rsidR="00A06404">
        <w:rPr>
          <w:szCs w:val="22"/>
        </w:rPr>
        <w:t>(</w:t>
      </w:r>
      <w:proofErr w:type="spellStart"/>
      <w:r>
        <w:rPr>
          <w:szCs w:val="22"/>
        </w:rPr>
        <w:t>i</w:t>
      </w:r>
      <w:proofErr w:type="spellEnd"/>
      <w:r>
        <w:rPr>
          <w:szCs w:val="22"/>
        </w:rPr>
        <w:t xml:space="preserve">) time-domain resource indication/determination </w:t>
      </w:r>
      <w:r w:rsidR="0097315A">
        <w:rPr>
          <w:szCs w:val="22"/>
        </w:rPr>
        <w:t>across</w:t>
      </w:r>
      <w:r>
        <w:rPr>
          <w:szCs w:val="22"/>
        </w:rPr>
        <w:t xml:space="preserve"> multiple slots and </w:t>
      </w:r>
      <w:r w:rsidR="00A06404">
        <w:rPr>
          <w:szCs w:val="22"/>
        </w:rPr>
        <w:t>(</w:t>
      </w:r>
      <w:r>
        <w:rPr>
          <w:szCs w:val="22"/>
        </w:rPr>
        <w:t xml:space="preserve">ii) </w:t>
      </w:r>
      <w:r w:rsidRPr="002B6050">
        <w:rPr>
          <w:szCs w:val="22"/>
        </w:rPr>
        <w:t xml:space="preserve">TBS determination based on </w:t>
      </w:r>
      <w:r>
        <w:rPr>
          <w:szCs w:val="22"/>
        </w:rPr>
        <w:t xml:space="preserve">the </w:t>
      </w:r>
      <w:r w:rsidRPr="002B6050">
        <w:rPr>
          <w:szCs w:val="22"/>
        </w:rPr>
        <w:t>mult</w:t>
      </w:r>
      <w:r>
        <w:rPr>
          <w:szCs w:val="22"/>
        </w:rPr>
        <w:t>i-</w:t>
      </w:r>
      <w:r w:rsidRPr="002B6050">
        <w:rPr>
          <w:szCs w:val="22"/>
        </w:rPr>
        <w:t>slot</w:t>
      </w:r>
      <w:r>
        <w:rPr>
          <w:szCs w:val="22"/>
        </w:rPr>
        <w:t xml:space="preserve"> resource.</w:t>
      </w:r>
      <w:r w:rsidRPr="002B6050">
        <w:rPr>
          <w:szCs w:val="22"/>
        </w:rPr>
        <w:t xml:space="preserve"> </w:t>
      </w:r>
      <w:r>
        <w:rPr>
          <w:szCs w:val="22"/>
        </w:rPr>
        <w:t>In addition</w:t>
      </w:r>
      <w:r w:rsidR="00047B10" w:rsidRPr="002B6050">
        <w:rPr>
          <w:szCs w:val="22"/>
        </w:rPr>
        <w:t>, a triggering method</w:t>
      </w:r>
      <w:r w:rsidR="002136D5" w:rsidRPr="002B6050">
        <w:rPr>
          <w:szCs w:val="22"/>
        </w:rPr>
        <w:t>ology</w:t>
      </w:r>
      <w:r w:rsidR="00047B10" w:rsidRPr="002B6050">
        <w:rPr>
          <w:szCs w:val="22"/>
        </w:rPr>
        <w:t xml:space="preserve"> need</w:t>
      </w:r>
      <w:r w:rsidR="006B2D3C">
        <w:rPr>
          <w:szCs w:val="22"/>
        </w:rPr>
        <w:t>s</w:t>
      </w:r>
      <w:r w:rsidR="00047B10" w:rsidRPr="002B6050">
        <w:rPr>
          <w:szCs w:val="22"/>
        </w:rPr>
        <w:t xml:space="preserve"> to be </w:t>
      </w:r>
      <w:r w:rsidR="00C81A25" w:rsidRPr="002B6050">
        <w:rPr>
          <w:szCs w:val="22"/>
        </w:rPr>
        <w:t>specified</w:t>
      </w:r>
      <w:r w:rsidR="00047B10" w:rsidRPr="002B6050">
        <w:rPr>
          <w:szCs w:val="22"/>
        </w:rPr>
        <w:t xml:space="preserve"> in order to let </w:t>
      </w:r>
      <w:proofErr w:type="spellStart"/>
      <w:r w:rsidR="00047B10" w:rsidRPr="002B6050">
        <w:rPr>
          <w:szCs w:val="22"/>
        </w:rPr>
        <w:t>gNB</w:t>
      </w:r>
      <w:proofErr w:type="spellEnd"/>
      <w:r w:rsidR="00047B10" w:rsidRPr="002B6050">
        <w:rPr>
          <w:szCs w:val="22"/>
        </w:rPr>
        <w:t xml:space="preserve"> enable/disable the new feature</w:t>
      </w:r>
      <w:r w:rsidR="002136D5" w:rsidRPr="002B6050">
        <w:rPr>
          <w:szCs w:val="22"/>
        </w:rPr>
        <w:t xml:space="preserve"> for a given TB transmission</w:t>
      </w:r>
      <w:r w:rsidR="005B4091" w:rsidRPr="002B6050">
        <w:rPr>
          <w:szCs w:val="22"/>
        </w:rPr>
        <w:t>.</w:t>
      </w:r>
    </w:p>
    <w:p w14:paraId="48C7D544" w14:textId="4817D86C" w:rsidR="00A06404" w:rsidRPr="002B6050" w:rsidRDefault="000C542C" w:rsidP="005832EF">
      <w:pPr>
        <w:pStyle w:val="Heading2"/>
        <w:rPr>
          <w:lang w:val="en-US"/>
        </w:rPr>
      </w:pPr>
      <w:bookmarkStart w:id="3" w:name="_Ref61020781"/>
      <w:r>
        <w:rPr>
          <w:lang w:val="en-US"/>
        </w:rPr>
        <w:t>Time-domain r</w:t>
      </w:r>
      <w:r w:rsidR="00A06404" w:rsidRPr="002B6050">
        <w:rPr>
          <w:lang w:val="en-US"/>
        </w:rPr>
        <w:t>esource indication/determination for multi-slot TB transmission</w:t>
      </w:r>
      <w:bookmarkEnd w:id="3"/>
    </w:p>
    <w:p w14:paraId="1866CEDA" w14:textId="1A2D502D" w:rsidR="000C542C" w:rsidRDefault="000C542C" w:rsidP="005832EF">
      <w:pPr>
        <w:spacing w:after="120"/>
        <w:jc w:val="both"/>
        <w:rPr>
          <w:szCs w:val="22"/>
        </w:rPr>
      </w:pPr>
      <w:r>
        <w:rPr>
          <w:szCs w:val="22"/>
        </w:rPr>
        <w:t xml:space="preserve">The following options can be considered as </w:t>
      </w:r>
      <w:r w:rsidR="00051B7B">
        <w:rPr>
          <w:szCs w:val="22"/>
        </w:rPr>
        <w:t xml:space="preserve">a </w:t>
      </w:r>
      <w:r>
        <w:rPr>
          <w:szCs w:val="22"/>
        </w:rPr>
        <w:t>starting point for the discussion on time-domain resource indication/determination for multi-slot TB transmission:</w:t>
      </w:r>
    </w:p>
    <w:p w14:paraId="410929FB" w14:textId="2405F5F8" w:rsidR="002F17F8" w:rsidRPr="002F17F8" w:rsidRDefault="000C542C" w:rsidP="005832EF">
      <w:pPr>
        <w:spacing w:after="120"/>
        <w:jc w:val="both"/>
        <w:rPr>
          <w:b/>
          <w:bCs/>
          <w:szCs w:val="22"/>
        </w:rPr>
      </w:pPr>
      <w:r w:rsidRPr="002F17F8">
        <w:rPr>
          <w:b/>
          <w:bCs/>
          <w:szCs w:val="22"/>
        </w:rPr>
        <w:t xml:space="preserve">Option </w:t>
      </w:r>
      <w:r w:rsidR="00B16D64">
        <w:rPr>
          <w:b/>
          <w:bCs/>
          <w:szCs w:val="22"/>
        </w:rPr>
        <w:t>1</w:t>
      </w:r>
      <w:r w:rsidR="002F17F8">
        <w:rPr>
          <w:b/>
          <w:bCs/>
          <w:szCs w:val="22"/>
        </w:rPr>
        <w:t xml:space="preserve">: Define </w:t>
      </w:r>
      <w:r w:rsidR="00CC6915">
        <w:rPr>
          <w:b/>
          <w:bCs/>
          <w:szCs w:val="22"/>
        </w:rPr>
        <w:t xml:space="preserve">a time-domain window </w:t>
      </w:r>
      <w:r w:rsidR="002F17F8">
        <w:rPr>
          <w:b/>
          <w:bCs/>
          <w:szCs w:val="22"/>
        </w:rPr>
        <w:t>wherein all valid PUSCH symbols are used for multi-slot TB transmission.</w:t>
      </w:r>
    </w:p>
    <w:p w14:paraId="64987B87" w14:textId="7FD85787" w:rsidR="00A06404" w:rsidRDefault="009C1734" w:rsidP="008460E5">
      <w:pPr>
        <w:spacing w:after="0"/>
        <w:jc w:val="both"/>
        <w:rPr>
          <w:szCs w:val="22"/>
        </w:rPr>
      </w:pPr>
      <w:r>
        <w:rPr>
          <w:szCs w:val="22"/>
        </w:rPr>
        <w:t>This option defines a</w:t>
      </w:r>
      <w:r w:rsidR="000C542C" w:rsidRPr="002F17F8">
        <w:rPr>
          <w:szCs w:val="22"/>
        </w:rPr>
        <w:t xml:space="preserve"> </w:t>
      </w:r>
      <w:r w:rsidR="00CC6915">
        <w:rPr>
          <w:szCs w:val="22"/>
        </w:rPr>
        <w:t>time-domain window</w:t>
      </w:r>
      <w:r w:rsidR="00D772A7">
        <w:rPr>
          <w:szCs w:val="22"/>
        </w:rPr>
        <w:t xml:space="preserve">, for instance </w:t>
      </w:r>
      <w:r w:rsidR="000C542C" w:rsidRPr="002F17F8">
        <w:rPr>
          <w:szCs w:val="22"/>
        </w:rPr>
        <w:t>of size</w:t>
      </w:r>
      <w:r w:rsidR="003A53EF" w:rsidRPr="002F17F8">
        <w:rPr>
          <w:szCs w:val="22"/>
        </w:rPr>
        <w:t xml:space="preserve">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rPr>
              <m:t>W</m:t>
            </m:r>
          </m:sub>
        </m:sSub>
      </m:oMath>
      <w:r w:rsidR="00D772A7">
        <w:rPr>
          <w:szCs w:val="22"/>
          <w:lang w:eastAsia="ko-KR"/>
        </w:rPr>
        <w:t xml:space="preserve">, </w:t>
      </w:r>
      <w:r w:rsidR="000C542C" w:rsidRPr="002F17F8">
        <w:rPr>
          <w:szCs w:val="22"/>
          <w:lang w:eastAsia="ko-KR"/>
        </w:rPr>
        <w:t>which includes a</w:t>
      </w:r>
      <w:r w:rsidR="003A53EF" w:rsidRPr="002F17F8">
        <w:rPr>
          <w:szCs w:val="22"/>
          <w:lang w:eastAsia="ko-KR"/>
        </w:rPr>
        <w:t xml:space="preserve"> number of slots from the first </w:t>
      </w:r>
      <w:r w:rsidR="00D772A7">
        <w:rPr>
          <w:szCs w:val="22"/>
          <w:lang w:eastAsia="ko-KR"/>
        </w:rPr>
        <w:t>to the</w:t>
      </w:r>
      <w:r w:rsidR="003A53EF" w:rsidRPr="002F17F8">
        <w:rPr>
          <w:szCs w:val="22"/>
          <w:lang w:eastAsia="ko-KR"/>
        </w:rPr>
        <w:t xml:space="preserve"> last slot tha</w:t>
      </w:r>
      <w:r w:rsidR="00D772A7">
        <w:rPr>
          <w:szCs w:val="22"/>
          <w:lang w:eastAsia="ko-KR"/>
        </w:rPr>
        <w:t>t include</w:t>
      </w:r>
      <w:r w:rsidR="003A53EF" w:rsidRPr="002F17F8">
        <w:rPr>
          <w:szCs w:val="22"/>
          <w:lang w:eastAsia="ko-KR"/>
        </w:rPr>
        <w:t xml:space="preserve"> symbols </w:t>
      </w:r>
      <w:r w:rsidR="00D772A7">
        <w:rPr>
          <w:szCs w:val="22"/>
          <w:lang w:eastAsia="ko-KR"/>
        </w:rPr>
        <w:t xml:space="preserve">(part or all) </w:t>
      </w:r>
      <w:r w:rsidR="003A53EF" w:rsidRPr="002F17F8">
        <w:rPr>
          <w:szCs w:val="22"/>
          <w:lang w:eastAsia="ko-KR"/>
        </w:rPr>
        <w:t>which are used for multi-slot TB transmission</w:t>
      </w:r>
      <w:r w:rsidR="00D772A7">
        <w:rPr>
          <w:szCs w:val="22"/>
          <w:lang w:eastAsia="ko-KR"/>
        </w:rPr>
        <w:t>, i.e.,</w:t>
      </w:r>
      <w:r w:rsidR="003A53EF" w:rsidRPr="002F17F8">
        <w:rPr>
          <w:szCs w:val="22"/>
          <w:lang w:eastAsia="ko-KR"/>
        </w:rPr>
        <w:t xml:space="preserve"> including the case </w:t>
      </w:r>
      <w:r w:rsidR="00D772A7">
        <w:rPr>
          <w:szCs w:val="22"/>
          <w:lang w:eastAsia="ko-KR"/>
        </w:rPr>
        <w:t xml:space="preserve">in which </w:t>
      </w:r>
      <w:r w:rsidR="003A53EF" w:rsidRPr="002F17F8">
        <w:rPr>
          <w:szCs w:val="22"/>
          <w:lang w:eastAsia="ko-KR"/>
        </w:rPr>
        <w:t>one or more slots between the first and last slot is/are not used for multi-slot TB transmission</w:t>
      </w:r>
      <w:r w:rsidR="003A53EF" w:rsidRPr="002F17F8">
        <w:rPr>
          <w:szCs w:val="22"/>
        </w:rPr>
        <w:t xml:space="preserve">. </w:t>
      </w:r>
      <w:r w:rsidR="00DF5361" w:rsidRPr="002F17F8">
        <w:rPr>
          <w:szCs w:val="22"/>
        </w:rPr>
        <w:fldChar w:fldCharType="begin"/>
      </w:r>
      <w:r w:rsidR="00DF5361" w:rsidRPr="002F17F8">
        <w:rPr>
          <w:szCs w:val="22"/>
        </w:rPr>
        <w:instrText xml:space="preserve"> REF _Ref61037534 \h </w:instrText>
      </w:r>
      <w:r w:rsidR="00EF434A">
        <w:instrText xml:space="preserve"> \* MERGEFORMAT </w:instrText>
      </w:r>
      <w:r w:rsidR="00DF5361" w:rsidRPr="002F17F8">
        <w:rPr>
          <w:szCs w:val="22"/>
        </w:rPr>
      </w:r>
      <w:r w:rsidR="00DF5361" w:rsidRPr="002F17F8">
        <w:rPr>
          <w:szCs w:val="22"/>
        </w:rPr>
        <w:fldChar w:fldCharType="separate"/>
      </w:r>
      <w:r w:rsidR="00B16D64">
        <w:t>Figure 1</w:t>
      </w:r>
      <w:r w:rsidR="00DF5361" w:rsidRPr="002F17F8">
        <w:rPr>
          <w:szCs w:val="22"/>
        </w:rPr>
        <w:fldChar w:fldCharType="end"/>
      </w:r>
      <w:r w:rsidR="00DF5361" w:rsidRPr="002F17F8">
        <w:rPr>
          <w:szCs w:val="22"/>
        </w:rPr>
        <w:t xml:space="preserve"> </w:t>
      </w:r>
      <w:r w:rsidR="003A53EF" w:rsidRPr="002F17F8">
        <w:rPr>
          <w:szCs w:val="22"/>
        </w:rPr>
        <w:t xml:space="preserve">shows an example of how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vertAlign w:val="subscript"/>
              </w:rPr>
              <m:t>W</m:t>
            </m:r>
          </m:sub>
        </m:sSub>
      </m:oMath>
      <w:r w:rsidR="003A53EF" w:rsidRPr="002F17F8">
        <w:rPr>
          <w:szCs w:val="22"/>
          <w:vertAlign w:val="subscript"/>
        </w:rPr>
        <w:t xml:space="preserve"> </w:t>
      </w:r>
      <w:r w:rsidR="003A53EF" w:rsidRPr="002F17F8">
        <w:rPr>
          <w:szCs w:val="22"/>
        </w:rPr>
        <w:t xml:space="preserve">is calculated. </w:t>
      </w:r>
      <w:r w:rsidR="00DF5361" w:rsidRPr="002F17F8">
        <w:rPr>
          <w:szCs w:val="22"/>
        </w:rPr>
        <w:t>This example depicts the S and U slot in a TDD frame structure,</w:t>
      </w:r>
      <w:r w:rsidR="003A53EF" w:rsidRPr="002F17F8">
        <w:rPr>
          <w:szCs w:val="22"/>
        </w:rPr>
        <w:t xml:space="preserve"> invalid symbols stand for the symbols that cannot be used for multi-slot TB transmission. These invalid symbols are configured by the </w:t>
      </w:r>
      <w:proofErr w:type="spellStart"/>
      <w:r w:rsidR="003A53EF" w:rsidRPr="002F17F8">
        <w:rPr>
          <w:szCs w:val="22"/>
        </w:rPr>
        <w:t>gNB</w:t>
      </w:r>
      <w:proofErr w:type="spellEnd"/>
      <w:r w:rsidR="003A53EF" w:rsidRPr="002F17F8">
        <w:rPr>
          <w:szCs w:val="22"/>
        </w:rPr>
        <w:t xml:space="preserve"> and can be the same as the invalid symbols configured for PUSCH repetition type B or they can be particularly configured for multi-slot TB </w:t>
      </w:r>
      <w:r w:rsidR="00DF5361" w:rsidRPr="002F17F8">
        <w:rPr>
          <w:szCs w:val="22"/>
        </w:rPr>
        <w:t>transmission</w:t>
      </w:r>
      <w:r w:rsidR="00E9195C">
        <w:rPr>
          <w:szCs w:val="22"/>
        </w:rPr>
        <w:t>, further including the earlier scheduled PUSCH in the initial slot</w:t>
      </w:r>
      <w:r w:rsidR="003A53EF" w:rsidRPr="002F17F8">
        <w:rPr>
          <w:szCs w:val="22"/>
        </w:rPr>
        <w:t>.</w:t>
      </w:r>
      <w:r w:rsidR="00E436C8">
        <w:rPr>
          <w:szCs w:val="22"/>
        </w:rPr>
        <w:t xml:space="preserve"> </w:t>
      </w:r>
    </w:p>
    <w:p w14:paraId="05AB61AB" w14:textId="4D9D1425" w:rsidR="003A53EF" w:rsidRDefault="000D3FEF" w:rsidP="005832EF">
      <w:pPr>
        <w:keepNext/>
        <w:ind w:left="284"/>
        <w:jc w:val="center"/>
      </w:pPr>
      <w:r>
        <w:rPr>
          <w:noProof/>
        </w:rPr>
        <w:lastRenderedPageBreak/>
        <w:drawing>
          <wp:inline distT="0" distB="0" distL="0" distR="0" wp14:anchorId="1E1AB5F2" wp14:editId="1ED78B49">
            <wp:extent cx="5700395" cy="23040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6272"/>
                    <a:stretch/>
                  </pic:blipFill>
                  <pic:spPr bwMode="auto">
                    <a:xfrm>
                      <a:off x="0" y="0"/>
                      <a:ext cx="5718072" cy="2311145"/>
                    </a:xfrm>
                    <a:prstGeom prst="rect">
                      <a:avLst/>
                    </a:prstGeom>
                    <a:ln>
                      <a:noFill/>
                    </a:ln>
                    <a:extLst>
                      <a:ext uri="{53640926-AAD7-44D8-BBD7-CCE9431645EC}">
                        <a14:shadowObscured xmlns:a14="http://schemas.microsoft.com/office/drawing/2010/main"/>
                      </a:ext>
                    </a:extLst>
                  </pic:spPr>
                </pic:pic>
              </a:graphicData>
            </a:graphic>
          </wp:inline>
        </w:drawing>
      </w:r>
    </w:p>
    <w:p w14:paraId="1AFEC64F" w14:textId="512D038D" w:rsidR="004C2958" w:rsidRDefault="003A53EF" w:rsidP="005832EF">
      <w:pPr>
        <w:pStyle w:val="Caption"/>
        <w:ind w:left="284"/>
        <w:jc w:val="center"/>
      </w:pPr>
      <w:bookmarkStart w:id="4" w:name="_Ref61037534"/>
      <w:r>
        <w:t xml:space="preserve">Figure </w:t>
      </w:r>
      <w:fldSimple w:instr=" SEQ Figure \* ARABIC ">
        <w:r w:rsidR="00B16D64">
          <w:rPr>
            <w:noProof/>
          </w:rPr>
          <w:t>1</w:t>
        </w:r>
      </w:fldSimple>
      <w:bookmarkEnd w:id="4"/>
      <w:r>
        <w:t xml:space="preserve">. </w:t>
      </w:r>
      <w:r w:rsidR="00375B3E">
        <w:t>An example of using slot-bundle for multi-slot TB time-domain resource allocation.</w:t>
      </w:r>
    </w:p>
    <w:p w14:paraId="3736DA2B" w14:textId="77777777" w:rsidR="007E2ECC" w:rsidRDefault="007E2ECC" w:rsidP="009D3DC6">
      <w:pPr>
        <w:spacing w:after="120"/>
        <w:jc w:val="both"/>
        <w:rPr>
          <w:szCs w:val="22"/>
        </w:rPr>
      </w:pPr>
    </w:p>
    <w:p w14:paraId="6A08A165" w14:textId="573F6C9E" w:rsidR="009D3DC6" w:rsidRDefault="009D3DC6" w:rsidP="009D3DC6">
      <w:pPr>
        <w:spacing w:after="120"/>
        <w:jc w:val="both"/>
        <w:rPr>
          <w:szCs w:val="22"/>
        </w:rPr>
      </w:pPr>
      <w:r>
        <w:rPr>
          <w:szCs w:val="22"/>
        </w:rPr>
        <w:t xml:space="preserve">For the indication of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vertAlign w:val="subscript"/>
              </w:rPr>
              <m:t>W</m:t>
            </m:r>
          </m:sub>
        </m:sSub>
      </m:oMath>
      <w:r>
        <w:rPr>
          <w:szCs w:val="22"/>
        </w:rPr>
        <w:t>, it can be a fixed scalar associated with TDD frame structure</w:t>
      </w:r>
      <w:r w:rsidR="0092119C">
        <w:rPr>
          <w:szCs w:val="22"/>
        </w:rPr>
        <w:t>,</w:t>
      </w:r>
      <w:r>
        <w:rPr>
          <w:szCs w:val="22"/>
        </w:rPr>
        <w:t xml:space="preserve"> e.g.</w:t>
      </w:r>
      <w:r w:rsidR="0092119C">
        <w:rPr>
          <w:szCs w:val="22"/>
        </w:rPr>
        <w:t xml:space="preserve">,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vertAlign w:val="subscript"/>
              </w:rPr>
              <m:t>W</m:t>
            </m:r>
          </m:sub>
        </m:sSub>
        <m:r>
          <w:rPr>
            <w:rFonts w:ascii="Cambria Math" w:hAnsi="Cambria Math"/>
            <w:szCs w:val="22"/>
          </w:rPr>
          <m:t>=2</m:t>
        </m:r>
      </m:oMath>
      <w:r>
        <w:rPr>
          <w:szCs w:val="22"/>
        </w:rPr>
        <w:t xml:space="preserve"> for DDDSU. </w:t>
      </w:r>
    </w:p>
    <w:p w14:paraId="3BF74A60" w14:textId="4E5C6542" w:rsidR="009D3DC6" w:rsidRDefault="009D3DC6" w:rsidP="009D3DC6">
      <w:pPr>
        <w:spacing w:after="120"/>
        <w:jc w:val="both"/>
        <w:rPr>
          <w:szCs w:val="22"/>
        </w:rPr>
      </w:pPr>
      <w:r>
        <w:rPr>
          <w:szCs w:val="22"/>
        </w:rPr>
        <w:t xml:space="preserve">Alternatively, it can be semi-statically configured for each row of the TDRA table such that when the multi-slot TB is enabled, the TDRA field will indicate both K2 and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vertAlign w:val="subscript"/>
              </w:rPr>
              <m:t>W</m:t>
            </m:r>
          </m:sub>
        </m:sSub>
      </m:oMath>
      <w:r>
        <w:rPr>
          <w:szCs w:val="22"/>
        </w:rPr>
        <w:t>. In this case, the UE firstly determines the window using values of K2 and</w:t>
      </w:r>
      <w:r w:rsidR="0092119C">
        <w:rPr>
          <w:szCs w:val="22"/>
        </w:rPr>
        <w:t xml:space="preserve"> </w:t>
      </w:r>
      <m:oMath>
        <m:sSub>
          <m:sSubPr>
            <m:ctrlPr>
              <w:rPr>
                <w:rFonts w:ascii="Cambria Math" w:hAnsi="Cambria Math"/>
                <w:i/>
                <w:szCs w:val="22"/>
                <w:vertAlign w:val="subscript"/>
              </w:rPr>
            </m:ctrlPr>
          </m:sSubPr>
          <m:e>
            <m:r>
              <w:rPr>
                <w:rFonts w:ascii="Cambria Math" w:hAnsi="Cambria Math"/>
                <w:szCs w:val="22"/>
              </w:rPr>
              <m:t>N</m:t>
            </m:r>
            <m:ctrlPr>
              <w:rPr>
                <w:rFonts w:ascii="Cambria Math" w:hAnsi="Cambria Math"/>
                <w:i/>
                <w:szCs w:val="22"/>
              </w:rPr>
            </m:ctrlPr>
          </m:e>
          <m:sub>
            <m:r>
              <w:rPr>
                <w:rFonts w:ascii="Cambria Math" w:hAnsi="Cambria Math"/>
                <w:szCs w:val="22"/>
                <w:vertAlign w:val="subscript"/>
              </w:rPr>
              <m:t>W</m:t>
            </m:r>
          </m:sub>
        </m:sSub>
      </m:oMath>
      <w:r>
        <w:rPr>
          <w:szCs w:val="22"/>
        </w:rPr>
        <w:t xml:space="preserve">. Since all invalid PUSCH symbols are known by the UE, it can then use the remaining valid PUSCH symbols in the window (other than DL and invalid UL symbols) for multi-slot TB transmission. </w:t>
      </w:r>
    </w:p>
    <w:p w14:paraId="49A57350" w14:textId="77777777" w:rsidR="007E2ECC" w:rsidRDefault="007E2ECC" w:rsidP="009D3DC6">
      <w:pPr>
        <w:spacing w:after="120"/>
        <w:jc w:val="both"/>
        <w:rPr>
          <w:szCs w:val="22"/>
        </w:rPr>
      </w:pPr>
    </w:p>
    <w:p w14:paraId="7C91EC59" w14:textId="61CC5CF6" w:rsidR="002F17F8" w:rsidRPr="001F257D" w:rsidRDefault="004B1933" w:rsidP="005832EF">
      <w:pPr>
        <w:rPr>
          <w:b/>
          <w:bCs/>
        </w:rPr>
      </w:pPr>
      <w:r w:rsidRPr="001F257D">
        <w:rPr>
          <w:b/>
          <w:bCs/>
        </w:rPr>
        <w:t xml:space="preserve">Option </w:t>
      </w:r>
      <w:r w:rsidR="00B16D64">
        <w:rPr>
          <w:b/>
          <w:bCs/>
        </w:rPr>
        <w:t>2</w:t>
      </w:r>
      <w:r w:rsidRPr="001F257D">
        <w:rPr>
          <w:b/>
          <w:bCs/>
        </w:rPr>
        <w:t>:</w:t>
      </w:r>
      <w:r w:rsidR="00E9195C" w:rsidRPr="001F257D">
        <w:rPr>
          <w:b/>
          <w:bCs/>
        </w:rPr>
        <w:t xml:space="preserve"> Define a new PUSCH mapping type that allows</w:t>
      </w:r>
      <w:r w:rsidR="00AF5912">
        <w:rPr>
          <w:b/>
          <w:bCs/>
        </w:rPr>
        <w:t xml:space="preserve"> L and</w:t>
      </w:r>
      <w:r w:rsidR="00E9195C" w:rsidRPr="001F257D">
        <w:rPr>
          <w:b/>
          <w:bCs/>
        </w:rPr>
        <w:t xml:space="preserve"> S+L &gt; 14.</w:t>
      </w:r>
    </w:p>
    <w:p w14:paraId="536E9DA6" w14:textId="4DA84F8E" w:rsidR="001F257D" w:rsidRPr="001F257D" w:rsidRDefault="001F257D" w:rsidP="005832EF">
      <w:pPr>
        <w:pStyle w:val="ListParagraph"/>
        <w:spacing w:after="120"/>
        <w:ind w:left="0"/>
        <w:contextualSpacing w:val="0"/>
        <w:jc w:val="both"/>
        <w:rPr>
          <w:szCs w:val="22"/>
          <w:lang w:val="en-US"/>
        </w:rPr>
      </w:pPr>
      <w:r>
        <w:rPr>
          <w:szCs w:val="22"/>
          <w:lang w:val="en-US"/>
        </w:rPr>
        <w:t>This option</w:t>
      </w:r>
      <w:r w:rsidRPr="001F257D">
        <w:rPr>
          <w:szCs w:val="22"/>
          <w:lang w:val="en-US"/>
        </w:rPr>
        <w:t xml:space="preserve"> firstly </w:t>
      </w:r>
      <w:r>
        <w:rPr>
          <w:szCs w:val="22"/>
          <w:lang w:val="en-US"/>
        </w:rPr>
        <w:t>defines</w:t>
      </w:r>
      <w:r w:rsidRPr="001F257D">
        <w:rPr>
          <w:szCs w:val="22"/>
          <w:lang w:val="en-US"/>
        </w:rPr>
        <w:t xml:space="preserve"> a novel PUSCH mapping type (e.g. type C) w</w:t>
      </w:r>
      <w:r w:rsidR="000F387E">
        <w:rPr>
          <w:szCs w:val="22"/>
          <w:lang w:val="en-US"/>
        </w:rPr>
        <w:t xml:space="preserve">here </w:t>
      </w:r>
      <w:r w:rsidRPr="001F257D">
        <w:rPr>
          <w:szCs w:val="22"/>
          <w:lang w:val="en-US"/>
        </w:rPr>
        <w:t xml:space="preserve">values of </w:t>
      </w:r>
      <m:oMath>
        <m:r>
          <w:rPr>
            <w:rFonts w:ascii="Cambria Math" w:hAnsi="Cambria Math"/>
            <w:szCs w:val="22"/>
            <w:lang w:val="en-US"/>
          </w:rPr>
          <m:t>S</m:t>
        </m:r>
      </m:oMath>
      <w:r w:rsidRPr="001F257D">
        <w:rPr>
          <w:szCs w:val="22"/>
          <w:lang w:val="en-US"/>
        </w:rPr>
        <w:t xml:space="preserve"> and </w:t>
      </w:r>
      <m:oMath>
        <m:r>
          <w:rPr>
            <w:rFonts w:ascii="Cambria Math" w:hAnsi="Cambria Math"/>
            <w:szCs w:val="22"/>
            <w:lang w:val="en-US"/>
          </w:rPr>
          <m:t>L</m:t>
        </m:r>
      </m:oMath>
      <w:r w:rsidRPr="001F257D">
        <w:rPr>
          <w:szCs w:val="22"/>
          <w:lang w:val="en-US"/>
        </w:rPr>
        <w:t xml:space="preserve"> are specified such that </w:t>
      </w:r>
      <m:oMath>
        <m:r>
          <w:rPr>
            <w:rFonts w:ascii="Cambria Math" w:hAnsi="Cambria Math"/>
            <w:szCs w:val="22"/>
            <w:lang w:val="en-US"/>
          </w:rPr>
          <m:t>S∈{0, …, 13}</m:t>
        </m:r>
      </m:oMath>
      <w:r w:rsidR="00375B3E">
        <w:rPr>
          <w:szCs w:val="22"/>
          <w:lang w:val="en-US"/>
        </w:rPr>
        <w:t xml:space="preserve"> and</w:t>
      </w:r>
      <w:r w:rsidRPr="001F257D">
        <w:rPr>
          <w:szCs w:val="22"/>
          <w:lang w:val="en-US"/>
        </w:rPr>
        <w:t xml:space="preserve"> </w:t>
      </w:r>
      <m:oMath>
        <m:r>
          <w:rPr>
            <w:rFonts w:ascii="Cambria Math" w:hAnsi="Cambria Math"/>
            <w:szCs w:val="22"/>
            <w:lang w:val="en-US"/>
          </w:rPr>
          <m:t>L∈</m:t>
        </m:r>
        <m:d>
          <m:dPr>
            <m:begChr m:val="{"/>
            <m:endChr m:val="}"/>
            <m:ctrlPr>
              <w:rPr>
                <w:rFonts w:ascii="Cambria Math" w:hAnsi="Cambria Math"/>
                <w:i/>
                <w:szCs w:val="22"/>
                <w:lang w:val="en-US"/>
              </w:rPr>
            </m:ctrlPr>
          </m:dPr>
          <m:e>
            <m:r>
              <w:rPr>
                <w:rFonts w:ascii="Cambria Math" w:hAnsi="Cambria Math"/>
                <w:szCs w:val="22"/>
                <w:lang w:val="en-US"/>
              </w:rPr>
              <m:t>2, …,</m:t>
            </m:r>
            <m:sSub>
              <m:sSubPr>
                <m:ctrlPr>
                  <w:rPr>
                    <w:rFonts w:ascii="Cambria Math" w:hAnsi="Cambria Math"/>
                    <w:i/>
                    <w:szCs w:val="22"/>
                    <w:lang w:val="en-US"/>
                  </w:rPr>
                </m:ctrlPr>
              </m:sSubPr>
              <m:e>
                <m:r>
                  <w:rPr>
                    <w:rFonts w:ascii="Cambria Math" w:hAnsi="Cambria Math"/>
                    <w:szCs w:val="22"/>
                    <w:lang w:val="en-US"/>
                  </w:rPr>
                  <m:t>L</m:t>
                </m:r>
              </m:e>
              <m:sub>
                <m:r>
                  <m:rPr>
                    <m:sty m:val="p"/>
                  </m:rPr>
                  <w:rPr>
                    <w:rFonts w:ascii="Cambria Math" w:hAnsi="Cambria Math"/>
                    <w:szCs w:val="22"/>
                    <w:lang w:val="en-US"/>
                  </w:rPr>
                  <m:t>max</m:t>
                </m:r>
              </m:sub>
            </m:sSub>
          </m:e>
        </m:d>
      </m:oMath>
      <w:r w:rsidR="00375B3E">
        <w:rPr>
          <w:szCs w:val="22"/>
          <w:lang w:val="en-US"/>
        </w:rPr>
        <w:t xml:space="preserve">, </w:t>
      </w:r>
      <w:r w:rsidR="000F387E">
        <w:rPr>
          <w:szCs w:val="22"/>
          <w:lang w:val="en-US"/>
        </w:rPr>
        <w:t xml:space="preserve">and </w:t>
      </w:r>
      <w:r w:rsidRPr="001F257D">
        <w:rPr>
          <w:szCs w:val="22"/>
          <w:lang w:val="en-US"/>
        </w:rPr>
        <w:t>where</w:t>
      </w:r>
      <w:r w:rsidR="000F387E">
        <w:rPr>
          <w:szCs w:val="22"/>
          <w:lang w:val="en-US"/>
        </w:rPr>
        <w:t xml:space="preserve"> both</w:t>
      </w:r>
      <w:r w:rsidRPr="001F257D">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L</m:t>
            </m:r>
          </m:e>
          <m:sub>
            <m:r>
              <m:rPr>
                <m:sty m:val="p"/>
              </m:rPr>
              <w:rPr>
                <w:rFonts w:ascii="Cambria Math" w:hAnsi="Cambria Math"/>
                <w:szCs w:val="22"/>
                <w:lang w:val="en-US"/>
              </w:rPr>
              <m:t>max</m:t>
            </m:r>
          </m:sub>
        </m:sSub>
      </m:oMath>
      <w:r w:rsidR="00375B3E">
        <w:rPr>
          <w:szCs w:val="22"/>
          <w:lang w:val="en-US"/>
        </w:rPr>
        <w:t xml:space="preserve"> and</w:t>
      </w:r>
      <w:r w:rsidR="00375B3E" w:rsidRPr="001F257D">
        <w:rPr>
          <w:szCs w:val="22"/>
          <w:lang w:val="en-US"/>
        </w:rPr>
        <w:t xml:space="preserve"> </w:t>
      </w:r>
      <m:oMath>
        <m:r>
          <w:rPr>
            <w:rFonts w:ascii="Cambria Math" w:hAnsi="Cambria Math"/>
            <w:szCs w:val="22"/>
            <w:lang w:val="en-US"/>
          </w:rPr>
          <m:t>S+L</m:t>
        </m:r>
      </m:oMath>
      <w:r w:rsidR="00375B3E">
        <w:rPr>
          <w:szCs w:val="22"/>
          <w:lang w:val="en-US"/>
        </w:rPr>
        <w:t xml:space="preserve"> can be greater than 14 and </w:t>
      </w:r>
      <w:r w:rsidRPr="001F257D">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L</m:t>
            </m:r>
          </m:e>
          <m:sub>
            <m:r>
              <m:rPr>
                <m:sty m:val="p"/>
              </m:rPr>
              <w:rPr>
                <w:rFonts w:ascii="Cambria Math" w:hAnsi="Cambria Math"/>
                <w:szCs w:val="22"/>
                <w:lang w:val="en-US"/>
              </w:rPr>
              <m:t>max</m:t>
            </m:r>
          </m:sub>
        </m:sSub>
      </m:oMath>
      <w:r w:rsidR="00375B3E">
        <w:rPr>
          <w:szCs w:val="22"/>
          <w:lang w:val="en-US"/>
        </w:rPr>
        <w:t xml:space="preserve"> </w:t>
      </w:r>
      <w:r w:rsidRPr="001F257D">
        <w:rPr>
          <w:szCs w:val="22"/>
          <w:lang w:val="en-US"/>
        </w:rPr>
        <w:t xml:space="preserve">can be hardcoded in the specification or can be configured in RRC by the </w:t>
      </w:r>
      <w:proofErr w:type="spellStart"/>
      <w:r w:rsidRPr="001F257D">
        <w:rPr>
          <w:szCs w:val="22"/>
          <w:lang w:val="en-US"/>
        </w:rPr>
        <w:t>gNB</w:t>
      </w:r>
      <w:proofErr w:type="spellEnd"/>
      <w:r w:rsidR="000F387E">
        <w:rPr>
          <w:szCs w:val="22"/>
          <w:lang w:val="en-US"/>
        </w:rPr>
        <w:t>,</w:t>
      </w:r>
      <w:r w:rsidRPr="001F257D">
        <w:rPr>
          <w:szCs w:val="22"/>
          <w:lang w:val="en-US"/>
        </w:rPr>
        <w:t xml:space="preserve"> depending on the UE capability. </w:t>
      </w:r>
      <w:r>
        <w:rPr>
          <w:szCs w:val="22"/>
          <w:lang w:val="en-US"/>
        </w:rPr>
        <w:t>With the new mapping type</w:t>
      </w:r>
      <w:r w:rsidRPr="001F257D">
        <w:rPr>
          <w:szCs w:val="22"/>
          <w:lang w:val="en-US"/>
        </w:rPr>
        <w:t>, the time domain resource is determined by the UE as follows</w:t>
      </w:r>
      <w:r w:rsidR="000F387E">
        <w:rPr>
          <w:szCs w:val="22"/>
          <w:lang w:val="en-US"/>
        </w:rPr>
        <w:t>:</w:t>
      </w:r>
    </w:p>
    <w:p w14:paraId="55A2DC65" w14:textId="77777777" w:rsidR="001F257D" w:rsidRPr="00FF1ED5" w:rsidRDefault="001F257D" w:rsidP="005832EF">
      <w:pPr>
        <w:pStyle w:val="ListParagraph"/>
        <w:numPr>
          <w:ilvl w:val="0"/>
          <w:numId w:val="37"/>
        </w:numPr>
        <w:spacing w:after="120"/>
        <w:jc w:val="both"/>
        <w:rPr>
          <w:szCs w:val="22"/>
          <w:lang w:val="en-US"/>
        </w:rPr>
      </w:pPr>
      <w:r w:rsidRPr="00FF1ED5">
        <w:rPr>
          <w:szCs w:val="22"/>
          <w:lang w:val="en-US"/>
        </w:rPr>
        <w:t xml:space="preserve">The </w:t>
      </w:r>
      <w:proofErr w:type="spellStart"/>
      <w:r w:rsidRPr="00FF1ED5">
        <w:rPr>
          <w:szCs w:val="22"/>
          <w:lang w:val="en-US"/>
        </w:rPr>
        <w:t>gNB</w:t>
      </w:r>
      <w:proofErr w:type="spellEnd"/>
      <w:r w:rsidRPr="00FF1ED5">
        <w:rPr>
          <w:szCs w:val="22"/>
          <w:lang w:val="en-US"/>
        </w:rPr>
        <w:t xml:space="preserve"> configures </w:t>
      </w:r>
      <m:oMath>
        <m:r>
          <w:rPr>
            <w:rFonts w:ascii="Cambria Math" w:hAnsi="Cambria Math"/>
            <w:szCs w:val="22"/>
            <w:lang w:val="en-US"/>
          </w:rPr>
          <m:t>S</m:t>
        </m:r>
      </m:oMath>
      <w:r w:rsidRPr="00FF1ED5">
        <w:rPr>
          <w:szCs w:val="22"/>
          <w:lang w:val="en-US"/>
        </w:rPr>
        <w:t xml:space="preserve"> and </w:t>
      </w:r>
      <m:oMath>
        <m:r>
          <w:rPr>
            <w:rFonts w:ascii="Cambria Math" w:hAnsi="Cambria Math"/>
            <w:szCs w:val="22"/>
            <w:lang w:val="en-US"/>
          </w:rPr>
          <m:t>L</m:t>
        </m:r>
      </m:oMath>
      <w:r w:rsidRPr="00FF1ED5">
        <w:rPr>
          <w:szCs w:val="22"/>
          <w:lang w:val="en-US"/>
        </w:rPr>
        <w:t xml:space="preserve"> independently with different RRC parameters per TDRA row for multi-slot TB with </w:t>
      </w:r>
      <w:proofErr w:type="spellStart"/>
      <w:r w:rsidRPr="00FF1ED5">
        <w:rPr>
          <w:i/>
          <w:iCs/>
          <w:szCs w:val="22"/>
          <w:lang w:val="en-US"/>
        </w:rPr>
        <w:t>mappingType</w:t>
      </w:r>
      <w:proofErr w:type="spellEnd"/>
      <w:r w:rsidRPr="00FF1ED5">
        <w:rPr>
          <w:szCs w:val="22"/>
          <w:lang w:val="en-US"/>
        </w:rPr>
        <w:t xml:space="preserve"> set to Type C. </w:t>
      </w:r>
    </w:p>
    <w:p w14:paraId="63EDE887" w14:textId="30FA2CDA" w:rsidR="001F257D" w:rsidRPr="001F257D" w:rsidRDefault="001F257D" w:rsidP="005832EF">
      <w:pPr>
        <w:pStyle w:val="ListParagraph"/>
        <w:numPr>
          <w:ilvl w:val="0"/>
          <w:numId w:val="37"/>
        </w:numPr>
        <w:spacing w:after="120"/>
        <w:jc w:val="both"/>
        <w:rPr>
          <w:szCs w:val="22"/>
        </w:rPr>
      </w:pPr>
      <w:r w:rsidRPr="00FF1ED5">
        <w:rPr>
          <w:szCs w:val="22"/>
          <w:lang w:val="en-US"/>
        </w:rPr>
        <w:t xml:space="preserve">The UE determines the allocated PUSCH resource </w:t>
      </w:r>
      <w:proofErr w:type="spellStart"/>
      <w:r w:rsidRPr="001F257D">
        <w:rPr>
          <w:szCs w:val="22"/>
        </w:rPr>
        <w:t>by</w:t>
      </w:r>
      <w:proofErr w:type="spellEnd"/>
      <w:r w:rsidRPr="001F257D">
        <w:rPr>
          <w:szCs w:val="22"/>
        </w:rPr>
        <w:t>:</w:t>
      </w:r>
    </w:p>
    <w:p w14:paraId="38FE7B14" w14:textId="4D6A0592" w:rsidR="001F257D" w:rsidRPr="001F257D" w:rsidRDefault="001F257D" w:rsidP="005832EF">
      <w:pPr>
        <w:pStyle w:val="ListParagraph"/>
        <w:numPr>
          <w:ilvl w:val="0"/>
          <w:numId w:val="38"/>
        </w:numPr>
        <w:spacing w:after="120"/>
        <w:contextualSpacing w:val="0"/>
        <w:jc w:val="both"/>
        <w:rPr>
          <w:szCs w:val="22"/>
          <w:lang w:val="en-US"/>
        </w:rPr>
      </w:pPr>
      <w:r w:rsidRPr="001F257D">
        <w:rPr>
          <w:szCs w:val="22"/>
          <w:lang w:val="en-US"/>
        </w:rPr>
        <w:t xml:space="preserve">Taking </w:t>
      </w:r>
      <m:oMath>
        <m:r>
          <w:rPr>
            <w:rFonts w:ascii="Cambria Math" w:hAnsi="Cambria Math"/>
            <w:szCs w:val="22"/>
            <w:vertAlign w:val="subscript"/>
            <w:lang w:val="en-US"/>
          </w:rPr>
          <m:t>L</m:t>
        </m:r>
      </m:oMath>
      <w:r w:rsidRPr="001F257D">
        <w:rPr>
          <w:szCs w:val="22"/>
          <w:lang w:val="en-US"/>
        </w:rPr>
        <w:t xml:space="preserve"> symbols starting from the symbol with index </w:t>
      </w:r>
      <m:oMath>
        <m:r>
          <w:rPr>
            <w:rFonts w:ascii="Cambria Math" w:hAnsi="Cambria Math"/>
            <w:szCs w:val="22"/>
            <w:lang w:val="en-US"/>
          </w:rPr>
          <m:t>S</m:t>
        </m:r>
      </m:oMath>
      <w:r w:rsidRPr="001F257D">
        <w:rPr>
          <w:szCs w:val="22"/>
          <w:lang w:val="en-US"/>
        </w:rPr>
        <w:t xml:space="preserve"> in the slot indicated by </w:t>
      </w:r>
      <w:r w:rsidR="004D2431" w:rsidRPr="001F257D">
        <w:rPr>
          <w:szCs w:val="22"/>
          <w:lang w:val="en-US"/>
        </w:rPr>
        <w:t>K2 and</w:t>
      </w:r>
      <w:r w:rsidRPr="001F257D">
        <w:rPr>
          <w:szCs w:val="22"/>
          <w:lang w:val="en-US"/>
        </w:rPr>
        <w:t xml:space="preserve"> using only the</w:t>
      </w:r>
      <w:r w:rsidR="00FA06DB">
        <w:rPr>
          <w:szCs w:val="22"/>
          <w:lang w:val="en-US"/>
        </w:rPr>
        <w:t xml:space="preserve"> valid</w:t>
      </w:r>
      <w:r w:rsidRPr="001F257D">
        <w:rPr>
          <w:szCs w:val="22"/>
          <w:lang w:val="en-US"/>
        </w:rPr>
        <w:t xml:space="preserve"> </w:t>
      </w:r>
      <w:r w:rsidR="00FA06DB">
        <w:rPr>
          <w:szCs w:val="22"/>
          <w:lang w:val="en-US"/>
        </w:rPr>
        <w:t>(</w:t>
      </w:r>
      <w:r w:rsidRPr="001F257D">
        <w:rPr>
          <w:szCs w:val="22"/>
          <w:lang w:val="en-US"/>
        </w:rPr>
        <w:t>available</w:t>
      </w:r>
      <w:r w:rsidR="00FA06DB">
        <w:rPr>
          <w:szCs w:val="22"/>
          <w:lang w:val="en-US"/>
        </w:rPr>
        <w:t>)</w:t>
      </w:r>
      <w:r w:rsidRPr="001F257D">
        <w:rPr>
          <w:szCs w:val="22"/>
          <w:lang w:val="en-US"/>
        </w:rPr>
        <w:t xml:space="preserve"> UL </w:t>
      </w:r>
      <w:r w:rsidR="00FA06DB" w:rsidRPr="001F257D">
        <w:rPr>
          <w:szCs w:val="22"/>
          <w:lang w:val="en-US"/>
        </w:rPr>
        <w:t>resources</w:t>
      </w:r>
      <w:r w:rsidRPr="001F257D">
        <w:rPr>
          <w:szCs w:val="22"/>
          <w:lang w:val="en-US"/>
        </w:rPr>
        <w:t xml:space="preserve"> that are not overlapping with downlink or invalid symbols</w:t>
      </w:r>
      <w:r w:rsidR="00FA06DB">
        <w:rPr>
          <w:szCs w:val="22"/>
          <w:lang w:val="en-US"/>
        </w:rPr>
        <w:t xml:space="preserve"> </w:t>
      </w:r>
      <w:r w:rsidRPr="001F257D">
        <w:rPr>
          <w:szCs w:val="22"/>
          <w:lang w:val="en-US"/>
        </w:rPr>
        <w:t xml:space="preserve">within the </w:t>
      </w:r>
      <w:r w:rsidRPr="001F257D">
        <w:rPr>
          <w:i/>
          <w:iCs/>
          <w:szCs w:val="22"/>
          <w:lang w:val="en-US"/>
        </w:rPr>
        <w:t>L</w:t>
      </w:r>
      <w:r w:rsidRPr="001F257D">
        <w:rPr>
          <w:szCs w:val="22"/>
          <w:lang w:val="en-US"/>
        </w:rPr>
        <w:t xml:space="preserve"> symbols for PUSCH.</w:t>
      </w:r>
    </w:p>
    <w:p w14:paraId="15C487A8" w14:textId="7478BA9F" w:rsidR="001F257D" w:rsidRPr="001F257D" w:rsidRDefault="001F257D" w:rsidP="005832EF">
      <w:pPr>
        <w:pStyle w:val="ListParagraph"/>
        <w:numPr>
          <w:ilvl w:val="0"/>
          <w:numId w:val="38"/>
        </w:numPr>
        <w:spacing w:after="120"/>
        <w:contextualSpacing w:val="0"/>
        <w:jc w:val="both"/>
        <w:rPr>
          <w:szCs w:val="22"/>
          <w:lang w:val="en-US"/>
        </w:rPr>
      </w:pPr>
      <w:r w:rsidRPr="001F257D">
        <w:rPr>
          <w:szCs w:val="22"/>
          <w:lang w:val="en-US"/>
        </w:rPr>
        <w:t xml:space="preserve">Taking </w:t>
      </w:r>
      <m:oMath>
        <m:r>
          <w:rPr>
            <w:rFonts w:ascii="Cambria Math" w:hAnsi="Cambria Math"/>
            <w:szCs w:val="22"/>
            <w:vertAlign w:val="subscript"/>
            <w:lang w:val="en-US"/>
          </w:rPr>
          <m:t>L</m:t>
        </m:r>
      </m:oMath>
      <w:r w:rsidRPr="001F257D">
        <w:rPr>
          <w:szCs w:val="22"/>
          <w:lang w:val="en-US"/>
        </w:rPr>
        <w:t xml:space="preserve"> valid symbols starting from the symbol with index </w:t>
      </w:r>
      <m:oMath>
        <m:r>
          <w:rPr>
            <w:rFonts w:ascii="Cambria Math" w:hAnsi="Cambria Math"/>
            <w:szCs w:val="22"/>
            <w:lang w:val="en-US"/>
          </w:rPr>
          <m:t>S</m:t>
        </m:r>
      </m:oMath>
      <w:r w:rsidRPr="001F257D">
        <w:rPr>
          <w:szCs w:val="22"/>
          <w:lang w:val="en-US"/>
        </w:rPr>
        <w:t xml:space="preserve"> in the slot indicated by K2 for PUSCH</w:t>
      </w:r>
      <w:r w:rsidR="00FA06DB">
        <w:rPr>
          <w:szCs w:val="22"/>
          <w:lang w:val="en-US"/>
        </w:rPr>
        <w:t>.</w:t>
      </w:r>
    </w:p>
    <w:p w14:paraId="1B8FF1C5" w14:textId="2A458F11" w:rsidR="00FA2743" w:rsidRDefault="00FA2743" w:rsidP="005832EF">
      <w:pPr>
        <w:jc w:val="both"/>
        <w:rPr>
          <w:szCs w:val="22"/>
        </w:rPr>
      </w:pPr>
      <w:r>
        <w:rPr>
          <w:szCs w:val="22"/>
        </w:rPr>
        <w:fldChar w:fldCharType="begin"/>
      </w:r>
      <w:r>
        <w:rPr>
          <w:szCs w:val="22"/>
        </w:rPr>
        <w:instrText xml:space="preserve"> REF _Ref61255906 \h </w:instrText>
      </w:r>
      <w:r w:rsidR="00EF434A">
        <w:rPr>
          <w:szCs w:val="22"/>
        </w:rPr>
        <w:instrText xml:space="preserve"> \* MERGEFORMAT </w:instrText>
      </w:r>
      <w:r>
        <w:rPr>
          <w:szCs w:val="22"/>
        </w:rPr>
      </w:r>
      <w:r>
        <w:rPr>
          <w:szCs w:val="22"/>
        </w:rPr>
        <w:fldChar w:fldCharType="separate"/>
      </w:r>
      <w:r w:rsidR="00B16D64">
        <w:t xml:space="preserve">Figure </w:t>
      </w:r>
      <w:r w:rsidR="00B16D64">
        <w:rPr>
          <w:noProof/>
        </w:rPr>
        <w:t>2</w:t>
      </w:r>
      <w:r>
        <w:rPr>
          <w:szCs w:val="22"/>
        </w:rPr>
        <w:fldChar w:fldCharType="end"/>
      </w:r>
      <w:r>
        <w:rPr>
          <w:szCs w:val="22"/>
        </w:rPr>
        <w:t xml:space="preserve"> shows </w:t>
      </w:r>
      <w:r w:rsidRPr="00FA2743">
        <w:rPr>
          <w:szCs w:val="22"/>
        </w:rPr>
        <w:t>example</w:t>
      </w:r>
      <w:r>
        <w:rPr>
          <w:szCs w:val="22"/>
        </w:rPr>
        <w:t>s</w:t>
      </w:r>
      <w:r w:rsidRPr="00FA2743">
        <w:rPr>
          <w:szCs w:val="22"/>
        </w:rPr>
        <w:t xml:space="preserve"> of using new PUSCH mapping type for multi-slot TB time-domain resource allocation</w:t>
      </w:r>
      <w:r>
        <w:rPr>
          <w:szCs w:val="22"/>
        </w:rPr>
        <w:t xml:space="preserve"> in Options 2a and 2b above.</w:t>
      </w:r>
      <w:r w:rsidRPr="00FA2743">
        <w:rPr>
          <w:szCs w:val="22"/>
        </w:rPr>
        <w:t xml:space="preserve"> </w:t>
      </w:r>
    </w:p>
    <w:p w14:paraId="53AAB57D" w14:textId="61171461" w:rsidR="00E9195C" w:rsidRDefault="00FA2743" w:rsidP="005832EF">
      <w:pPr>
        <w:jc w:val="both"/>
        <w:rPr>
          <w:szCs w:val="22"/>
        </w:rPr>
      </w:pPr>
      <w:r>
        <w:rPr>
          <w:szCs w:val="22"/>
        </w:rPr>
        <w:t>I</w:t>
      </w:r>
      <w:r w:rsidR="001F257D" w:rsidRPr="001F257D">
        <w:rPr>
          <w:szCs w:val="22"/>
        </w:rPr>
        <w:t xml:space="preserve">n this </w:t>
      </w:r>
      <w:r>
        <w:rPr>
          <w:szCs w:val="22"/>
        </w:rPr>
        <w:t>option</w:t>
      </w:r>
      <w:r w:rsidR="001F257D" w:rsidRPr="001F257D">
        <w:rPr>
          <w:szCs w:val="22"/>
        </w:rPr>
        <w:t>,</w:t>
      </w:r>
      <w:r>
        <w:rPr>
          <w:szCs w:val="22"/>
        </w:rPr>
        <w:t xml:space="preserve"> since the new mapping type</w:t>
      </w:r>
      <w:r w:rsidR="00630F71">
        <w:rPr>
          <w:szCs w:val="22"/>
        </w:rPr>
        <w:t xml:space="preserve"> defines the multi-slot (or multi-segments within a slot) resource</w:t>
      </w:r>
      <w:r>
        <w:rPr>
          <w:szCs w:val="22"/>
        </w:rPr>
        <w:t xml:space="preserve">, </w:t>
      </w:r>
      <w:r w:rsidR="00630F71">
        <w:rPr>
          <w:szCs w:val="22"/>
        </w:rPr>
        <w:t>explicit indication of</w:t>
      </w:r>
      <w:r>
        <w:rPr>
          <w:szCs w:val="22"/>
        </w:rPr>
        <w:t xml:space="preserve"> multi-slot TB transmission</w:t>
      </w:r>
      <w:r w:rsidR="00630F71">
        <w:rPr>
          <w:szCs w:val="22"/>
        </w:rPr>
        <w:t xml:space="preserve"> is not needed. In other words,</w:t>
      </w:r>
      <w:r w:rsidR="004748A5">
        <w:rPr>
          <w:szCs w:val="22"/>
        </w:rPr>
        <w:t xml:space="preserve"> </w:t>
      </w:r>
      <w:r w:rsidR="004748A5" w:rsidRPr="001F257D">
        <w:rPr>
          <w:szCs w:val="22"/>
        </w:rPr>
        <w:t xml:space="preserve">the UE identifies that the multi-slot TB is enabled </w:t>
      </w:r>
      <w:r w:rsidR="004748A5">
        <w:rPr>
          <w:szCs w:val="22"/>
        </w:rPr>
        <w:t>when the new mapping type (e.g. Type C) is configured</w:t>
      </w:r>
      <w:r>
        <w:rPr>
          <w:szCs w:val="22"/>
        </w:rPr>
        <w:t xml:space="preserve">. However, </w:t>
      </w:r>
      <w:r w:rsidR="00630F71">
        <w:rPr>
          <w:szCs w:val="22"/>
        </w:rPr>
        <w:t>configuring the new mapping type on top of the available TDRA table may reduce the scheduling flexibility</w:t>
      </w:r>
      <w:r w:rsidR="00FB3264">
        <w:rPr>
          <w:szCs w:val="22"/>
        </w:rPr>
        <w:t>, i.e. reducing the number of rows that are needed for legacy PUSCH mapping types</w:t>
      </w:r>
      <w:r w:rsidR="00630F71">
        <w:rPr>
          <w:szCs w:val="22"/>
        </w:rPr>
        <w:t>.</w:t>
      </w:r>
      <w:r w:rsidR="00FB3264">
        <w:rPr>
          <w:szCs w:val="22"/>
        </w:rPr>
        <w:t xml:space="preserve"> Therefore, TDRA table may need to be extended in this case and, hence, one more DCI bit</w:t>
      </w:r>
      <w:r w:rsidR="00E320F1">
        <w:rPr>
          <w:szCs w:val="22"/>
        </w:rPr>
        <w:t xml:space="preserve"> should be added to support this option</w:t>
      </w:r>
      <w:r w:rsidR="00FB3264">
        <w:rPr>
          <w:szCs w:val="22"/>
        </w:rPr>
        <w:t xml:space="preserve"> (for the TDRA field, instead of using it as explicit indication of multi-slot TB transmission).</w:t>
      </w:r>
    </w:p>
    <w:p w14:paraId="1458A77D" w14:textId="2C9FC516" w:rsidR="00375B3E" w:rsidRDefault="007E2ECC" w:rsidP="005832EF">
      <w:pPr>
        <w:keepNext/>
        <w:jc w:val="center"/>
      </w:pPr>
      <w:r>
        <w:rPr>
          <w:noProof/>
        </w:rPr>
        <w:lastRenderedPageBreak/>
        <w:drawing>
          <wp:inline distT="0" distB="0" distL="0" distR="0" wp14:anchorId="499E06F0" wp14:editId="6EFF76A1">
            <wp:extent cx="4294800" cy="272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4800" cy="2721600"/>
                    </a:xfrm>
                    <a:prstGeom prst="rect">
                      <a:avLst/>
                    </a:prstGeom>
                    <a:noFill/>
                  </pic:spPr>
                </pic:pic>
              </a:graphicData>
            </a:graphic>
          </wp:inline>
        </w:drawing>
      </w:r>
    </w:p>
    <w:p w14:paraId="49C11DE3" w14:textId="2F3F7085" w:rsidR="00FA06DB" w:rsidRPr="001F257D" w:rsidRDefault="00375B3E" w:rsidP="005832EF">
      <w:pPr>
        <w:pStyle w:val="Caption"/>
        <w:jc w:val="center"/>
        <w:rPr>
          <w:szCs w:val="22"/>
        </w:rPr>
      </w:pPr>
      <w:bookmarkStart w:id="5" w:name="_Ref61255906"/>
      <w:r>
        <w:t xml:space="preserve">Figure </w:t>
      </w:r>
      <w:fldSimple w:instr=" SEQ Figure \* ARABIC ">
        <w:r w:rsidR="00B16D64">
          <w:rPr>
            <w:noProof/>
          </w:rPr>
          <w:t>2</w:t>
        </w:r>
      </w:fldSimple>
      <w:bookmarkEnd w:id="5"/>
      <w:r>
        <w:t>. An example of using new PUSCH mapping type for multi-slot TB time-domain resource allocation.</w:t>
      </w:r>
    </w:p>
    <w:p w14:paraId="45325CC1" w14:textId="77777777" w:rsidR="007E5A73" w:rsidRDefault="007E5A73" w:rsidP="00B16D64">
      <w:pPr>
        <w:rPr>
          <w:b/>
          <w:bCs/>
          <w:szCs w:val="22"/>
        </w:rPr>
      </w:pPr>
    </w:p>
    <w:p w14:paraId="4E04E5E6" w14:textId="5976FF70" w:rsidR="00B16D64" w:rsidRDefault="00B16D64" w:rsidP="00B16D64">
      <w:pPr>
        <w:rPr>
          <w:b/>
          <w:bCs/>
          <w:szCs w:val="22"/>
        </w:rPr>
      </w:pPr>
      <w:r w:rsidRPr="001D7A52">
        <w:rPr>
          <w:b/>
          <w:bCs/>
          <w:szCs w:val="22"/>
        </w:rPr>
        <w:t xml:space="preserve">Option </w:t>
      </w:r>
      <w:r>
        <w:rPr>
          <w:b/>
          <w:bCs/>
          <w:szCs w:val="22"/>
        </w:rPr>
        <w:t>3</w:t>
      </w:r>
      <w:r w:rsidRPr="001D7A52">
        <w:rPr>
          <w:b/>
          <w:bCs/>
          <w:szCs w:val="22"/>
        </w:rPr>
        <w:t xml:space="preserve">: </w:t>
      </w:r>
      <w:r>
        <w:rPr>
          <w:b/>
          <w:bCs/>
          <w:szCs w:val="22"/>
        </w:rPr>
        <w:t>Reuse the time-domain allocation from PUSCH repetition type B.</w:t>
      </w:r>
    </w:p>
    <w:p w14:paraId="2CF487CA" w14:textId="53BFD6B2" w:rsidR="00B16D64" w:rsidRPr="003D20F8" w:rsidRDefault="00B16D64" w:rsidP="00B16D64">
      <w:pPr>
        <w:spacing w:after="120"/>
        <w:jc w:val="both"/>
        <w:rPr>
          <w:rFonts w:cs="Arial"/>
          <w:szCs w:val="22"/>
        </w:rPr>
      </w:pPr>
      <w:r>
        <w:rPr>
          <w:rFonts w:cs="Arial"/>
          <w:szCs w:val="22"/>
        </w:rPr>
        <w:t>One simple option is to exploit</w:t>
      </w:r>
      <w:r w:rsidRPr="003D20F8">
        <w:rPr>
          <w:rFonts w:cs="Arial"/>
          <w:szCs w:val="22"/>
        </w:rPr>
        <w:t xml:space="preserve"> the PUSCH repetition type B time-domain resource </w:t>
      </w:r>
      <w:r>
        <w:rPr>
          <w:rFonts w:cs="Arial"/>
          <w:szCs w:val="22"/>
        </w:rPr>
        <w:t>indication/</w:t>
      </w:r>
      <w:r w:rsidRPr="003D20F8">
        <w:rPr>
          <w:rFonts w:cs="Arial"/>
          <w:szCs w:val="22"/>
        </w:rPr>
        <w:t>determination. Firstly, the time-domain resource allocation for PUSCH repetition type B can be applied to find the resource for actual PUSCH repetitions. Secondly, the back-to-back actual PUSCH repetition resource</w:t>
      </w:r>
      <w:r>
        <w:rPr>
          <w:rFonts w:cs="Arial"/>
          <w:szCs w:val="22"/>
        </w:rPr>
        <w:t>s</w:t>
      </w:r>
      <w:r w:rsidRPr="003D20F8">
        <w:rPr>
          <w:rFonts w:cs="Arial"/>
          <w:szCs w:val="22"/>
        </w:rPr>
        <w:t xml:space="preserve"> </w:t>
      </w:r>
      <w:r>
        <w:rPr>
          <w:rFonts w:cs="Arial"/>
          <w:szCs w:val="22"/>
        </w:rPr>
        <w:t xml:space="preserve">are aggregated to form aggregated PUSCH segments, which can then be used for multi-slot TB transmission as shown in </w:t>
      </w:r>
      <w:r>
        <w:rPr>
          <w:rFonts w:cs="Arial"/>
          <w:szCs w:val="22"/>
        </w:rPr>
        <w:fldChar w:fldCharType="begin"/>
      </w:r>
      <w:r>
        <w:rPr>
          <w:rFonts w:cs="Arial"/>
          <w:szCs w:val="22"/>
        </w:rPr>
        <w:instrText xml:space="preserve"> REF _Ref61264497 \h  \* MERGEFORMAT </w:instrText>
      </w:r>
      <w:r>
        <w:rPr>
          <w:rFonts w:cs="Arial"/>
          <w:szCs w:val="22"/>
        </w:rPr>
      </w:r>
      <w:r>
        <w:rPr>
          <w:rFonts w:cs="Arial"/>
          <w:szCs w:val="22"/>
        </w:rPr>
        <w:fldChar w:fldCharType="separate"/>
      </w:r>
      <w:r>
        <w:t xml:space="preserve">Figure </w:t>
      </w:r>
      <w:r>
        <w:rPr>
          <w:noProof/>
        </w:rPr>
        <w:t>3</w:t>
      </w:r>
      <w:r>
        <w:rPr>
          <w:rFonts w:cs="Arial"/>
          <w:szCs w:val="22"/>
        </w:rPr>
        <w:fldChar w:fldCharType="end"/>
      </w:r>
      <w:r>
        <w:rPr>
          <w:rFonts w:cs="Arial"/>
          <w:szCs w:val="22"/>
        </w:rPr>
        <w:t>. Although the indication of number of repetitions for PUSCH repetition type B is tied to TDRA selection (as it is configured per row in the TDRA table), the size of the TDRA table has already been extended to 64 entries in Rel-16 which should provide enough flexibility for the indication of the total length of time-domain resource for multi-slot TB transmission.</w:t>
      </w:r>
    </w:p>
    <w:p w14:paraId="3C0A250D" w14:textId="77777777" w:rsidR="00B16D64" w:rsidRDefault="00B16D64" w:rsidP="00B16D64">
      <w:pPr>
        <w:keepNext/>
        <w:jc w:val="center"/>
      </w:pPr>
      <w:r>
        <w:rPr>
          <w:noProof/>
        </w:rPr>
        <w:drawing>
          <wp:inline distT="0" distB="0" distL="0" distR="0" wp14:anchorId="5F883E2C" wp14:editId="08C5F8BA">
            <wp:extent cx="5068706" cy="3292897"/>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83299" cy="3302377"/>
                    </a:xfrm>
                    <a:prstGeom prst="rect">
                      <a:avLst/>
                    </a:prstGeom>
                  </pic:spPr>
                </pic:pic>
              </a:graphicData>
            </a:graphic>
          </wp:inline>
        </w:drawing>
      </w:r>
    </w:p>
    <w:p w14:paraId="6C3C474D" w14:textId="25A360A3" w:rsidR="00B16D64" w:rsidRPr="001D7A52" w:rsidRDefault="00B16D64" w:rsidP="00B16D64">
      <w:pPr>
        <w:pStyle w:val="Caption"/>
        <w:jc w:val="center"/>
        <w:rPr>
          <w:b w:val="0"/>
          <w:bCs/>
          <w:szCs w:val="22"/>
        </w:rPr>
      </w:pPr>
      <w:bookmarkStart w:id="6" w:name="_Ref61264497"/>
      <w:r>
        <w:t xml:space="preserve">Figure </w:t>
      </w:r>
      <w:fldSimple w:instr=" SEQ Figure \* ARABIC ">
        <w:r>
          <w:rPr>
            <w:noProof/>
          </w:rPr>
          <w:t>3</w:t>
        </w:r>
      </w:fldSimple>
      <w:bookmarkEnd w:id="6"/>
      <w:r>
        <w:t xml:space="preserve">. </w:t>
      </w:r>
      <w:r w:rsidRPr="00FB693D">
        <w:t xml:space="preserve">An example of </w:t>
      </w:r>
      <w:r>
        <w:t>re</w:t>
      </w:r>
      <w:r w:rsidRPr="00FB693D">
        <w:t>using</w:t>
      </w:r>
      <w:r>
        <w:t xml:space="preserve"> time-domain allocation of</w:t>
      </w:r>
      <w:r w:rsidRPr="00FB693D">
        <w:t xml:space="preserve"> </w:t>
      </w:r>
      <w:r>
        <w:t xml:space="preserve">PUSCH repetition </w:t>
      </w:r>
      <w:r w:rsidRPr="00FB693D">
        <w:t>for multi-slot TB</w:t>
      </w:r>
      <w:r>
        <w:t xml:space="preserve"> transmission.</w:t>
      </w:r>
    </w:p>
    <w:p w14:paraId="6F2D49A7" w14:textId="539F08FA" w:rsidR="00C44556" w:rsidRDefault="009D5813" w:rsidP="005832EF">
      <w:pPr>
        <w:rPr>
          <w:szCs w:val="22"/>
        </w:rPr>
      </w:pPr>
      <w:r>
        <w:rPr>
          <w:szCs w:val="22"/>
        </w:rPr>
        <w:lastRenderedPageBreak/>
        <w:t>From the above discussion, we propose the following:</w:t>
      </w:r>
    </w:p>
    <w:p w14:paraId="7D746E63" w14:textId="7F11ED27" w:rsidR="009D5813" w:rsidRDefault="007E5A73" w:rsidP="007E5A73">
      <w:pPr>
        <w:pStyle w:val="Caption"/>
        <w:jc w:val="both"/>
        <w:rPr>
          <w:b w:val="0"/>
          <w:bCs/>
          <w:szCs w:val="22"/>
        </w:rPr>
      </w:pPr>
      <w:bookmarkStart w:id="7" w:name="_Toc61633959"/>
      <w:bookmarkStart w:id="8" w:name="_Toc6187994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bookmarkEnd w:id="7"/>
      <w:r w:rsidR="009D5813">
        <w:rPr>
          <w:bCs/>
          <w:szCs w:val="22"/>
        </w:rPr>
        <w:t>For multi-slot TB transmission, RAN1 to down-select the following t</w:t>
      </w:r>
      <w:r w:rsidR="009D5813" w:rsidRPr="009D5813">
        <w:rPr>
          <w:bCs/>
          <w:szCs w:val="22"/>
        </w:rPr>
        <w:t>ime-domain resource indication/determination</w:t>
      </w:r>
      <w:r w:rsidR="009D5813">
        <w:rPr>
          <w:bCs/>
          <w:szCs w:val="22"/>
        </w:rPr>
        <w:t xml:space="preserve"> options:</w:t>
      </w:r>
      <w:bookmarkEnd w:id="8"/>
    </w:p>
    <w:p w14:paraId="1279CAF7" w14:textId="77777777" w:rsidR="007E5A73" w:rsidRDefault="009D5813" w:rsidP="00521CE5">
      <w:pPr>
        <w:pStyle w:val="ListParagraph"/>
        <w:numPr>
          <w:ilvl w:val="0"/>
          <w:numId w:val="40"/>
        </w:numPr>
        <w:spacing w:after="120"/>
        <w:jc w:val="both"/>
        <w:rPr>
          <w:b/>
          <w:bCs/>
          <w:szCs w:val="22"/>
          <w:lang w:val="en-US"/>
        </w:rPr>
      </w:pPr>
      <w:r w:rsidRPr="00521CE5">
        <w:rPr>
          <w:b/>
          <w:bCs/>
          <w:szCs w:val="22"/>
          <w:lang w:val="en-US"/>
        </w:rPr>
        <w:t>Option 1: Define a time-domain window wherein all valid PUSCH symbols are used for multi-slot TB transmission.</w:t>
      </w:r>
      <w:r w:rsidR="001B3072">
        <w:rPr>
          <w:b/>
          <w:bCs/>
          <w:szCs w:val="22"/>
          <w:lang w:val="en-US"/>
        </w:rPr>
        <w:t xml:space="preserve"> </w:t>
      </w:r>
    </w:p>
    <w:p w14:paraId="183EB68C" w14:textId="6DC3FACF" w:rsidR="009D5813" w:rsidRPr="00521CE5" w:rsidRDefault="001B3072" w:rsidP="007E5A73">
      <w:pPr>
        <w:pStyle w:val="ListParagraph"/>
        <w:numPr>
          <w:ilvl w:val="1"/>
          <w:numId w:val="40"/>
        </w:numPr>
        <w:spacing w:after="120"/>
        <w:jc w:val="both"/>
        <w:rPr>
          <w:b/>
          <w:bCs/>
          <w:szCs w:val="22"/>
          <w:lang w:val="en-US"/>
        </w:rPr>
      </w:pPr>
      <w:r>
        <w:rPr>
          <w:b/>
          <w:bCs/>
          <w:szCs w:val="22"/>
          <w:lang w:val="en-US"/>
        </w:rPr>
        <w:t>FFS details of window indication.</w:t>
      </w:r>
    </w:p>
    <w:p w14:paraId="15603571" w14:textId="26FFEF3E" w:rsidR="009D5813" w:rsidRPr="00521CE5" w:rsidRDefault="009D5813" w:rsidP="00521CE5">
      <w:pPr>
        <w:pStyle w:val="ListParagraph"/>
        <w:numPr>
          <w:ilvl w:val="0"/>
          <w:numId w:val="40"/>
        </w:numPr>
        <w:rPr>
          <w:b/>
          <w:bCs/>
          <w:lang w:val="en-US"/>
        </w:rPr>
      </w:pPr>
      <w:r w:rsidRPr="00521CE5">
        <w:rPr>
          <w:b/>
          <w:bCs/>
          <w:lang w:val="en-US"/>
        </w:rPr>
        <w:t>Option 2: Define a new PUSCH mapping type that allows L and S+L &gt; 14</w:t>
      </w:r>
      <w:r w:rsidR="00521CE5" w:rsidRPr="00521CE5">
        <w:rPr>
          <w:b/>
          <w:bCs/>
          <w:lang w:val="en-US"/>
        </w:rPr>
        <w:t xml:space="preserve">; </w:t>
      </w:r>
      <m:oMath>
        <m:r>
          <m:rPr>
            <m:sty m:val="bi"/>
          </m:rPr>
          <w:rPr>
            <w:rFonts w:ascii="Cambria Math" w:hAnsi="Cambria Math"/>
            <w:szCs w:val="22"/>
            <w:vertAlign w:val="subscript"/>
            <w:lang w:val="en-US"/>
          </w:rPr>
          <m:t>L</m:t>
        </m:r>
      </m:oMath>
      <w:r w:rsidR="00521CE5" w:rsidRPr="00521CE5">
        <w:rPr>
          <w:b/>
          <w:bCs/>
          <w:szCs w:val="22"/>
          <w:lang w:val="en-US"/>
        </w:rPr>
        <w:t xml:space="preserve"> valid symbols starting from the symbol with index </w:t>
      </w:r>
      <m:oMath>
        <m:r>
          <m:rPr>
            <m:sty m:val="bi"/>
          </m:rPr>
          <w:rPr>
            <w:rFonts w:ascii="Cambria Math" w:hAnsi="Cambria Math"/>
            <w:szCs w:val="22"/>
            <w:lang w:val="en-US"/>
          </w:rPr>
          <m:t>S</m:t>
        </m:r>
      </m:oMath>
      <w:r w:rsidR="00521CE5" w:rsidRPr="00521CE5">
        <w:rPr>
          <w:b/>
          <w:bCs/>
          <w:szCs w:val="22"/>
          <w:lang w:val="en-US"/>
        </w:rPr>
        <w:t xml:space="preserve"> in the slot indicated by K2 are used for multi-slot TB transmission.</w:t>
      </w:r>
    </w:p>
    <w:p w14:paraId="60A29E4C" w14:textId="345BC9B8" w:rsidR="009D5813" w:rsidRPr="005650B8" w:rsidRDefault="009D5813" w:rsidP="005832EF">
      <w:pPr>
        <w:pStyle w:val="ListParagraph"/>
        <w:numPr>
          <w:ilvl w:val="0"/>
          <w:numId w:val="40"/>
        </w:numPr>
        <w:rPr>
          <w:b/>
          <w:bCs/>
          <w:szCs w:val="22"/>
          <w:lang w:val="en-US"/>
        </w:rPr>
      </w:pPr>
      <w:r w:rsidRPr="00521CE5">
        <w:rPr>
          <w:b/>
          <w:bCs/>
          <w:szCs w:val="22"/>
          <w:lang w:val="en-US"/>
        </w:rPr>
        <w:t>Option 3: Reuse the time-domain allocation from PUSCH repetition type B.</w:t>
      </w:r>
    </w:p>
    <w:p w14:paraId="1606F95A" w14:textId="77777777" w:rsidR="009D5813" w:rsidRPr="009D5813" w:rsidRDefault="009D5813" w:rsidP="005832EF">
      <w:pPr>
        <w:rPr>
          <w:b/>
          <w:bCs/>
          <w:szCs w:val="22"/>
        </w:rPr>
      </w:pPr>
    </w:p>
    <w:p w14:paraId="5DAA3C78" w14:textId="6F255EEA" w:rsidR="005B4091" w:rsidRPr="002B6050" w:rsidRDefault="005B4091" w:rsidP="005832EF">
      <w:pPr>
        <w:pStyle w:val="Heading2"/>
        <w:rPr>
          <w:lang w:val="en-US"/>
        </w:rPr>
      </w:pPr>
      <w:r w:rsidRPr="002B6050">
        <w:rPr>
          <w:lang w:val="en-US"/>
        </w:rPr>
        <w:t>TBS determination based on PUSCH resources across multiple slots</w:t>
      </w:r>
    </w:p>
    <w:p w14:paraId="378AB2F5" w14:textId="5B70ED2F" w:rsidR="000E370D" w:rsidRPr="006A597C" w:rsidRDefault="000E370D" w:rsidP="006A597C">
      <w:r w:rsidRPr="006A597C">
        <w:t>Since the multi-slot TB scenario uses resources across multiple slots, t</w:t>
      </w:r>
      <w:r w:rsidRPr="006A597C">
        <w:rPr>
          <w:szCs w:val="22"/>
        </w:rPr>
        <w:t xml:space="preserve">wo issues may occur when applying the legacy TBS determination procedure on the new scenario: </w:t>
      </w:r>
    </w:p>
    <w:p w14:paraId="0B2A8FDB" w14:textId="02105AFE" w:rsidR="00E222E5" w:rsidRPr="00FB0ACF" w:rsidRDefault="00860FB1" w:rsidP="006B2BDF">
      <w:pPr>
        <w:pStyle w:val="Heading3"/>
        <w:rPr>
          <w:lang w:eastAsia="zh-CN"/>
        </w:rPr>
      </w:pPr>
      <m:oMath>
        <m:sSubSup>
          <m:sSubSupPr>
            <m:ctrlPr>
              <w:rPr>
                <w:rFonts w:ascii="Cambria Math" w:hAnsi="Cambria Math"/>
                <w:i/>
                <w:lang w:eastAsia="ko-KR"/>
              </w:rPr>
            </m:ctrlPr>
          </m:sSubSupPr>
          <m:e>
            <m:r>
              <m:rPr>
                <m:sty m:val="bi"/>
              </m:rPr>
              <w:rPr>
                <w:rFonts w:ascii="Cambria Math" w:hAnsi="Cambria Math"/>
                <w:lang w:eastAsia="ko-KR"/>
              </w:rPr>
              <m:t>N</m:t>
            </m:r>
          </m:e>
          <m:sub>
            <m:r>
              <m:rPr>
                <m:sty m:val="bi"/>
              </m:rPr>
              <w:rPr>
                <w:rFonts w:ascii="Cambria Math" w:hAnsi="Cambria Math"/>
                <w:lang w:eastAsia="ko-KR"/>
              </w:rPr>
              <m:t>RE</m:t>
            </m:r>
          </m:sub>
          <m:sup>
            <m:r>
              <w:rPr>
                <w:rFonts w:ascii="Cambria Math" w:hAnsi="Cambria Math"/>
                <w:lang w:eastAsia="ko-KR"/>
              </w:rPr>
              <m:t>'</m:t>
            </m:r>
          </m:sup>
        </m:sSubSup>
      </m:oMath>
      <w:r w:rsidR="00E222E5" w:rsidRPr="00FB0ACF">
        <w:rPr>
          <w:lang w:eastAsia="ko-KR"/>
        </w:rPr>
        <w:t xml:space="preserve"> calculation</w:t>
      </w:r>
    </w:p>
    <w:p w14:paraId="1E2A7AE5" w14:textId="68658339" w:rsidR="00E222E5" w:rsidRPr="00FB0ACF" w:rsidRDefault="00E222E5" w:rsidP="00FB0ACF">
      <w:pPr>
        <w:pStyle w:val="ListParagraph"/>
        <w:spacing w:after="120"/>
        <w:ind w:left="0"/>
        <w:contextualSpacing w:val="0"/>
        <w:jc w:val="both"/>
        <w:rPr>
          <w:iCs/>
          <w:lang w:val="en-US" w:eastAsia="ko-KR"/>
        </w:rPr>
      </w:pPr>
      <w:r w:rsidRPr="00FB0ACF">
        <w:rPr>
          <w:iCs/>
          <w:szCs w:val="22"/>
          <w:lang w:val="en-US" w:eastAsia="ko-KR"/>
        </w:rPr>
        <w:t>In Rel-16,</w:t>
      </w:r>
      <w:r w:rsidR="00FB0ACF" w:rsidRPr="00FB0ACF">
        <w:rPr>
          <w:iCs/>
          <w:szCs w:val="22"/>
          <w:lang w:val="en-US" w:eastAsia="ko-KR"/>
        </w:rPr>
        <w:t xml:space="preserve"> </w:t>
      </w:r>
      <w:r w:rsidR="00FB0ACF" w:rsidRPr="00FB0ACF">
        <w:rPr>
          <w:iCs/>
          <w:lang w:val="en-US" w:eastAsia="ko-KR"/>
        </w:rPr>
        <w:t>the number of REs allocated for P</w:t>
      </w:r>
      <w:r w:rsidR="00FB0ACF">
        <w:rPr>
          <w:iCs/>
          <w:lang w:val="en-US" w:eastAsia="ko-KR"/>
        </w:rPr>
        <w:t>U</w:t>
      </w:r>
      <w:r w:rsidR="00FB0ACF" w:rsidRPr="00FB0ACF">
        <w:rPr>
          <w:iCs/>
          <w:lang w:val="en-US" w:eastAsia="ko-KR"/>
        </w:rPr>
        <w:t>SCH within a PRB</w:t>
      </w:r>
      <w:r w:rsidRPr="00FB0ACF">
        <w:rPr>
          <w:iCs/>
          <w:szCs w:val="22"/>
          <w:lang w:val="en-US" w:eastAsia="ko-KR"/>
        </w:rPr>
        <w:t xml:space="preserve"> </w:t>
      </w:r>
      <w:r w:rsidR="00FB0ACF">
        <w:rPr>
          <w:iCs/>
          <w:szCs w:val="22"/>
          <w:lang w:val="en-US" w:eastAsia="ko-KR"/>
        </w:rPr>
        <w:t>(</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RE</m:t>
            </m:r>
          </m:sub>
          <m:sup>
            <m:r>
              <w:rPr>
                <w:rFonts w:ascii="Cambria Math" w:hAnsi="Cambria Math"/>
                <w:szCs w:val="22"/>
                <w:lang w:val="en-US" w:eastAsia="ko-KR"/>
              </w:rPr>
              <m:t>'</m:t>
            </m:r>
          </m:sup>
        </m:sSubSup>
      </m:oMath>
      <w:r w:rsidR="00FB0ACF">
        <w:rPr>
          <w:iCs/>
          <w:szCs w:val="22"/>
          <w:lang w:val="en-US" w:eastAsia="ko-KR"/>
        </w:rPr>
        <w:t>)</w:t>
      </w:r>
      <w:r w:rsidRPr="00FB0ACF">
        <w:rPr>
          <w:iCs/>
          <w:szCs w:val="22"/>
          <w:lang w:val="en-US" w:eastAsia="ko-KR"/>
        </w:rPr>
        <w:t xml:space="preserve"> is calculated by:</w:t>
      </w:r>
    </w:p>
    <w:p w14:paraId="22F17D5B" w14:textId="46E5AE9E" w:rsidR="00E222E5" w:rsidRPr="00E222E5" w:rsidRDefault="00860FB1" w:rsidP="00FB0ACF">
      <w:pPr>
        <w:pStyle w:val="ListParagraph"/>
        <w:spacing w:after="120"/>
        <w:ind w:left="0"/>
        <w:contextualSpacing w:val="0"/>
        <w:jc w:val="center"/>
        <w:rPr>
          <w:iCs/>
          <w:szCs w:val="22"/>
          <w:lang w:val="en-US" w:eastAsia="ko-KR"/>
        </w:rPr>
      </w:pPr>
      <m:oMath>
        <m:sSubSup>
          <m:sSubSupPr>
            <m:ctrlPr>
              <w:rPr>
                <w:rFonts w:ascii="Cambria Math" w:hAnsi="Cambria Math"/>
                <w:i/>
                <w:iCs/>
                <w:lang w:val="en-US" w:eastAsia="ko-KR"/>
              </w:rPr>
            </m:ctrlPr>
          </m:sSubSupPr>
          <m:e>
            <m:r>
              <w:rPr>
                <w:rFonts w:ascii="Cambria Math"/>
                <w:lang w:val="en-US" w:eastAsia="ko-KR"/>
              </w:rPr>
              <m:t>N</m:t>
            </m:r>
          </m:e>
          <m:sub>
            <m:r>
              <w:rPr>
                <w:rFonts w:ascii="Cambria Math"/>
                <w:lang w:val="en-US" w:eastAsia="ko-KR"/>
              </w:rPr>
              <m:t>RE</m:t>
            </m:r>
          </m:sub>
          <m:sup>
            <m:r>
              <w:rPr>
                <w:rFonts w:ascii="Cambria Math"/>
                <w:lang w:val="en-US" w:eastAsia="ko-KR"/>
              </w:rPr>
              <m:t>'</m:t>
            </m:r>
          </m:sup>
        </m:sSubSup>
        <m:r>
          <w:rPr>
            <w:rFonts w:ascii="Cambria Math"/>
            <w:lang w:val="en-US" w:eastAsia="ko-KR"/>
          </w:rPr>
          <m:t>=</m:t>
        </m:r>
        <m:sSubSup>
          <m:sSubSupPr>
            <m:ctrlPr>
              <w:rPr>
                <w:rFonts w:ascii="Cambria Math" w:hAnsi="Cambria Math"/>
                <w:i/>
                <w:iCs/>
                <w:lang w:val="en-US" w:eastAsia="ko-KR"/>
              </w:rPr>
            </m:ctrlPr>
          </m:sSubSupPr>
          <m:e>
            <m:r>
              <w:rPr>
                <w:rFonts w:ascii="Cambria Math"/>
                <w:lang w:val="en-US" w:eastAsia="ko-KR"/>
              </w:rPr>
              <m:t>N</m:t>
            </m:r>
          </m:e>
          <m:sub>
            <m:r>
              <w:rPr>
                <w:rFonts w:ascii="Cambria Math"/>
                <w:lang w:val="en-US" w:eastAsia="ko-KR"/>
              </w:rPr>
              <m:t>sc</m:t>
            </m:r>
          </m:sub>
          <m:sup>
            <m:r>
              <w:rPr>
                <w:rFonts w:ascii="Cambria Math"/>
                <w:lang w:val="en-US" w:eastAsia="ko-KR"/>
              </w:rPr>
              <m:t>RB</m:t>
            </m:r>
          </m:sup>
        </m:sSubSup>
        <m:r>
          <w:rPr>
            <w:rFonts w:ascii="Cambria Math" w:hAnsi="Cambria Math" w:cs="Cambria Math"/>
            <w:lang w:val="en-US" w:eastAsia="ko-KR"/>
          </w:rPr>
          <m:t>⋅</m:t>
        </m:r>
        <m:sSubSup>
          <m:sSubSupPr>
            <m:ctrlPr>
              <w:rPr>
                <w:rFonts w:ascii="Cambria Math" w:hAnsi="Cambria Math"/>
                <w:i/>
                <w:iCs/>
                <w:lang w:val="en-US" w:eastAsia="ko-KR"/>
              </w:rPr>
            </m:ctrlPr>
          </m:sSubSupPr>
          <m:e>
            <m:r>
              <w:rPr>
                <w:rFonts w:ascii="Cambria Math"/>
                <w:lang w:val="en-US" w:eastAsia="ko-KR"/>
              </w:rPr>
              <m:t>N</m:t>
            </m:r>
          </m:e>
          <m:sub>
            <m:r>
              <w:rPr>
                <w:rFonts w:ascii="Cambria Math"/>
                <w:lang w:val="en-US" w:eastAsia="ko-KR"/>
              </w:rPr>
              <m:t>symb</m:t>
            </m:r>
          </m:sub>
          <m:sup>
            <m:r>
              <w:rPr>
                <w:rFonts w:ascii="Cambria Math"/>
                <w:lang w:val="en-US" w:eastAsia="ko-KR"/>
              </w:rPr>
              <m:t>s</m:t>
            </m:r>
            <m:r>
              <w:rPr>
                <w:rFonts w:ascii="Cambria Math"/>
                <w:lang w:val="en-US" w:eastAsia="ko-KR"/>
              </w:rPr>
              <m:t>h</m:t>
            </m:r>
          </m:sup>
        </m:sSubSup>
        <m:r>
          <w:rPr>
            <w:rFonts w:ascii="Cambria Math"/>
            <w:lang w:val="en-US" w:eastAsia="ko-KR"/>
          </w:rPr>
          <m:t>-</m:t>
        </m:r>
        <m:sSubSup>
          <m:sSubSupPr>
            <m:ctrlPr>
              <w:rPr>
                <w:rFonts w:ascii="Cambria Math" w:hAnsi="Cambria Math"/>
                <w:i/>
                <w:iCs/>
                <w:lang w:val="en-US" w:eastAsia="ko-KR"/>
              </w:rPr>
            </m:ctrlPr>
          </m:sSubSupPr>
          <m:e>
            <m:r>
              <w:rPr>
                <w:rFonts w:ascii="Cambria Math"/>
                <w:lang w:val="en-US" w:eastAsia="ko-KR"/>
              </w:rPr>
              <m:t>N</m:t>
            </m:r>
          </m:e>
          <m:sub>
            <m:r>
              <w:rPr>
                <w:rFonts w:ascii="Cambria Math"/>
                <w:lang w:val="en-US" w:eastAsia="ko-KR"/>
              </w:rPr>
              <m:t>DMRS</m:t>
            </m:r>
          </m:sub>
          <m:sup>
            <m:r>
              <w:rPr>
                <w:rFonts w:ascii="Cambria Math"/>
                <w:lang w:val="en-US" w:eastAsia="ko-KR"/>
              </w:rPr>
              <m:t>PRB</m:t>
            </m:r>
          </m:sup>
        </m:sSubSup>
        <m:r>
          <w:rPr>
            <w:rFonts w:ascii="Cambria Math"/>
            <w:lang w:val="en-US" w:eastAsia="ko-KR"/>
          </w:rPr>
          <m:t>-</m:t>
        </m:r>
        <m:sSubSup>
          <m:sSubSupPr>
            <m:ctrlPr>
              <w:rPr>
                <w:rFonts w:ascii="Cambria Math" w:hAnsi="Cambria Math"/>
                <w:i/>
                <w:iCs/>
                <w:lang w:val="en-US" w:eastAsia="ko-KR"/>
              </w:rPr>
            </m:ctrlPr>
          </m:sSubSupPr>
          <m:e>
            <m:r>
              <w:rPr>
                <w:rFonts w:ascii="Cambria Math"/>
                <w:lang w:val="en-US" w:eastAsia="ko-KR"/>
              </w:rPr>
              <m:t>N</m:t>
            </m:r>
          </m:e>
          <m:sub>
            <m:r>
              <w:rPr>
                <w:rFonts w:ascii="Cambria Math"/>
                <w:lang w:val="en-US" w:eastAsia="ko-KR"/>
              </w:rPr>
              <m:t>o</m:t>
            </m:r>
            <m:r>
              <w:rPr>
                <w:rFonts w:ascii="Cambria Math"/>
                <w:lang w:val="en-US" w:eastAsia="ko-KR"/>
              </w:rPr>
              <m:t>h</m:t>
            </m:r>
          </m:sub>
          <m:sup>
            <m:r>
              <w:rPr>
                <w:rFonts w:ascii="Cambria Math"/>
                <w:lang w:val="en-US" w:eastAsia="ko-KR"/>
              </w:rPr>
              <m:t>PRB</m:t>
            </m:r>
          </m:sup>
        </m:sSubSup>
      </m:oMath>
      <w:r w:rsidR="00E222E5">
        <w:rPr>
          <w:iCs/>
          <w:lang w:val="en-US" w:eastAsia="ko-KR"/>
        </w:rPr>
        <w:t>.</w:t>
      </w:r>
    </w:p>
    <w:p w14:paraId="3D32A9C6" w14:textId="44BC5E7A" w:rsidR="006759D0" w:rsidRDefault="00FB0ACF" w:rsidP="00FB0ACF">
      <w:pPr>
        <w:pStyle w:val="ListParagraph"/>
        <w:spacing w:after="120"/>
        <w:ind w:left="0"/>
        <w:contextualSpacing w:val="0"/>
        <w:jc w:val="both"/>
        <w:rPr>
          <w:szCs w:val="22"/>
          <w:lang w:val="en-US"/>
        </w:rPr>
      </w:pPr>
      <w:r>
        <w:rPr>
          <w:iCs/>
          <w:szCs w:val="22"/>
          <w:lang w:val="en-US" w:eastAsia="ko-KR"/>
        </w:rPr>
        <w:t xml:space="preserve">For the multi-slot TB scenario, </w:t>
      </w:r>
      <w:r w:rsidR="000E370D" w:rsidRPr="006A597C">
        <w:rPr>
          <w:iCs/>
          <w:szCs w:val="22"/>
          <w:lang w:val="en-US" w:eastAsia="ko-KR"/>
        </w:rPr>
        <w:t>one can straightforwardly scal</w:t>
      </w:r>
      <w:r>
        <w:rPr>
          <w:iCs/>
          <w:szCs w:val="22"/>
          <w:lang w:val="en-US" w:eastAsia="ko-KR"/>
        </w:rPr>
        <w:t>e</w:t>
      </w:r>
      <w:r w:rsidR="000E370D" w:rsidRPr="006A597C">
        <w:rPr>
          <w:iCs/>
          <w:szCs w:val="22"/>
          <w:lang w:val="en-US" w:eastAsia="ko-KR"/>
        </w:rPr>
        <w:t xml:space="preserve">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symb</m:t>
            </m:r>
          </m:sub>
          <m:sup>
            <m:r>
              <w:rPr>
                <w:rFonts w:ascii="Cambria Math" w:hAnsi="Cambria Math"/>
                <w:szCs w:val="22"/>
                <w:lang w:val="en-US" w:eastAsia="ko-KR"/>
              </w:rPr>
              <m:t>sh</m:t>
            </m:r>
          </m:sup>
        </m:sSubSup>
      </m:oMath>
      <w:r w:rsidR="000E370D" w:rsidRPr="006A597C">
        <w:rPr>
          <w:iCs/>
          <w:szCs w:val="22"/>
          <w:lang w:val="en-US" w:eastAsia="ko-KR"/>
        </w:rPr>
        <w:t xml:space="preserve"> and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DMRS</m:t>
            </m:r>
          </m:sub>
          <m:sup>
            <m:r>
              <w:rPr>
                <w:rFonts w:ascii="Cambria Math" w:hAnsi="Cambria Math"/>
                <w:szCs w:val="22"/>
                <w:lang w:val="en-US" w:eastAsia="ko-KR"/>
              </w:rPr>
              <m:t>PRB</m:t>
            </m:r>
          </m:sup>
        </m:sSubSup>
      </m:oMath>
      <w:r w:rsidR="000E370D" w:rsidRPr="006A597C">
        <w:rPr>
          <w:iCs/>
          <w:szCs w:val="22"/>
          <w:lang w:val="en-US" w:eastAsia="ko-KR"/>
        </w:rPr>
        <w:t xml:space="preserve"> by considering all PUSCH symbols allocated across multi-slots (for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symb</m:t>
            </m:r>
          </m:sub>
          <m:sup>
            <m:r>
              <w:rPr>
                <w:rFonts w:ascii="Cambria Math" w:hAnsi="Cambria Math"/>
                <w:szCs w:val="22"/>
                <w:lang w:val="en-US" w:eastAsia="ko-KR"/>
              </w:rPr>
              <m:t>sh</m:t>
            </m:r>
          </m:sup>
        </m:sSubSup>
      </m:oMath>
      <w:r w:rsidR="000E370D" w:rsidRPr="006A597C">
        <w:rPr>
          <w:iCs/>
          <w:szCs w:val="22"/>
          <w:lang w:val="en-US" w:eastAsia="ko-KR"/>
        </w:rPr>
        <w:t>) and all DM</w:t>
      </w:r>
      <w:r w:rsidR="00BB7AA5" w:rsidRPr="006A597C">
        <w:rPr>
          <w:iCs/>
          <w:szCs w:val="22"/>
          <w:lang w:val="en-US" w:eastAsia="ko-KR"/>
        </w:rPr>
        <w:t>-</w:t>
      </w:r>
      <w:r w:rsidR="000E370D" w:rsidRPr="006A597C">
        <w:rPr>
          <w:iCs/>
          <w:szCs w:val="22"/>
          <w:lang w:val="en-US" w:eastAsia="ko-KR"/>
        </w:rPr>
        <w:t xml:space="preserve">RS symbols within the allocated resource (for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DMRS</m:t>
            </m:r>
          </m:sub>
          <m:sup>
            <m:r>
              <w:rPr>
                <w:rFonts w:ascii="Cambria Math" w:hAnsi="Cambria Math"/>
                <w:szCs w:val="22"/>
                <w:lang w:val="en-US" w:eastAsia="ko-KR"/>
              </w:rPr>
              <m:t>PRB</m:t>
            </m:r>
          </m:sup>
        </m:sSubSup>
      </m:oMath>
      <w:r w:rsidR="000E370D" w:rsidRPr="006A597C">
        <w:rPr>
          <w:iCs/>
          <w:szCs w:val="22"/>
          <w:lang w:val="en-US" w:eastAsia="ko-KR"/>
        </w:rPr>
        <w:t xml:space="preserve">). In contrast, </w:t>
      </w:r>
      <w:r w:rsidR="007E5A73">
        <w:rPr>
          <w:iCs/>
          <w:szCs w:val="22"/>
          <w:lang w:val="en-US" w:eastAsia="ko-KR"/>
        </w:rPr>
        <w:t>t</w:t>
      </w:r>
      <w:r w:rsidR="000E370D" w:rsidRPr="006A597C">
        <w:rPr>
          <w:iCs/>
          <w:szCs w:val="22"/>
          <w:lang w:val="en-US" w:eastAsia="ko-KR"/>
        </w:rPr>
        <w:t xml:space="preserve">he determination of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oh</m:t>
            </m:r>
          </m:sub>
          <m:sup>
            <m:r>
              <w:rPr>
                <w:rFonts w:ascii="Cambria Math" w:hAnsi="Cambria Math"/>
                <w:szCs w:val="22"/>
                <w:lang w:val="en-US" w:eastAsia="ko-KR"/>
              </w:rPr>
              <m:t>PRB</m:t>
            </m:r>
          </m:sup>
        </m:sSubSup>
      </m:oMath>
      <w:r w:rsidR="007E5A73">
        <w:rPr>
          <w:iCs/>
          <w:szCs w:val="22"/>
          <w:lang w:val="en-US" w:eastAsia="ko-KR"/>
        </w:rPr>
        <w:t xml:space="preserve"> </w:t>
      </w:r>
      <w:r w:rsidR="000E370D" w:rsidRPr="006A597C">
        <w:rPr>
          <w:iCs/>
          <w:szCs w:val="22"/>
          <w:lang w:val="en-US" w:eastAsia="ko-KR"/>
        </w:rPr>
        <w:t>is not straightforward</w:t>
      </w:r>
      <w:r w:rsidR="007E5A73">
        <w:rPr>
          <w:iCs/>
          <w:szCs w:val="22"/>
          <w:lang w:val="en-US" w:eastAsia="ko-KR"/>
        </w:rPr>
        <w:t>. Indeed,</w:t>
      </w:r>
      <w:r w:rsidR="000E370D" w:rsidRPr="006A597C">
        <w:rPr>
          <w:iCs/>
          <w:szCs w:val="22"/>
          <w:lang w:val="en-US" w:eastAsia="ko-KR"/>
        </w:rPr>
        <w:t xml:space="preserve">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oh</m:t>
            </m:r>
          </m:sub>
          <m:sup>
            <m:r>
              <w:rPr>
                <w:rFonts w:ascii="Cambria Math" w:hAnsi="Cambria Math"/>
                <w:szCs w:val="22"/>
                <w:lang w:val="en-US" w:eastAsia="ko-KR"/>
              </w:rPr>
              <m:t>PRB</m:t>
            </m:r>
          </m:sup>
        </m:sSubSup>
      </m:oMath>
      <w:r w:rsidR="000E370D" w:rsidRPr="006A597C">
        <w:rPr>
          <w:i/>
          <w:iCs/>
          <w:szCs w:val="22"/>
          <w:lang w:val="en-US" w:eastAsia="ko-KR"/>
        </w:rPr>
        <w:t xml:space="preserve"> </w:t>
      </w:r>
      <w:r w:rsidR="000E370D" w:rsidRPr="006A597C">
        <w:rPr>
          <w:szCs w:val="22"/>
          <w:lang w:val="en-US" w:eastAsia="ko-KR"/>
        </w:rPr>
        <w:fldChar w:fldCharType="begin"/>
      </w:r>
      <w:r w:rsidR="000E370D" w:rsidRPr="006A597C">
        <w:rPr>
          <w:szCs w:val="22"/>
          <w:lang w:val="en-US" w:eastAsia="ko-KR"/>
        </w:rPr>
        <w:instrText xml:space="preserve"> QUOTE </w:instrText>
      </w:r>
      <m:oMath>
        <m:sSubSup>
          <m:sSubSupPr>
            <m:ctrlPr>
              <w:rPr>
                <w:rFonts w:ascii="Cambria Math" w:hAnsi="Cambria Math"/>
                <w:szCs w:val="22"/>
                <w:lang w:val="en-US" w:eastAsia="ko-KR"/>
              </w:rPr>
            </m:ctrlPr>
          </m:sSubSupPr>
          <m:e>
            <m:r>
              <m:rPr>
                <m:sty m:val="p"/>
              </m:rPr>
              <w:rPr>
                <w:rFonts w:ascii="Cambria Math" w:hAnsi="Cambria Math"/>
                <w:szCs w:val="22"/>
                <w:lang w:val="en-US" w:eastAsia="ko-KR"/>
              </w:rPr>
              <m:t>N</m:t>
            </m:r>
          </m:e>
          <m:sub>
            <m:r>
              <m:rPr>
                <m:sty m:val="p"/>
              </m:rPr>
              <w:rPr>
                <w:rFonts w:ascii="Cambria Math" w:hAnsi="Cambria Math"/>
                <w:szCs w:val="22"/>
                <w:lang w:val="en-US" w:eastAsia="ko-KR"/>
              </w:rPr>
              <m:t>oh</m:t>
            </m:r>
          </m:sub>
          <m:sup>
            <m:r>
              <m:rPr>
                <m:sty m:val="p"/>
              </m:rPr>
              <w:rPr>
                <w:rFonts w:ascii="Cambria Math" w:hAnsi="Cambria Math"/>
                <w:szCs w:val="22"/>
                <w:lang w:val="en-US" w:eastAsia="ko-KR"/>
              </w:rPr>
              <m:t>PRB</m:t>
            </m:r>
          </m:sup>
        </m:sSubSup>
      </m:oMath>
      <w:r w:rsidR="000E370D" w:rsidRPr="006A597C">
        <w:rPr>
          <w:szCs w:val="22"/>
          <w:lang w:val="en-US" w:eastAsia="ko-KR"/>
        </w:rPr>
        <w:instrText xml:space="preserve"> </w:instrText>
      </w:r>
      <w:r w:rsidR="000E370D" w:rsidRPr="006A597C">
        <w:rPr>
          <w:szCs w:val="22"/>
          <w:lang w:val="en-US" w:eastAsia="ko-KR"/>
        </w:rPr>
        <w:fldChar w:fldCharType="end"/>
      </w:r>
      <w:r w:rsidR="000E370D" w:rsidRPr="006A597C">
        <w:rPr>
          <w:szCs w:val="22"/>
          <w:lang w:val="en-US" w:eastAsia="ko-KR"/>
        </w:rPr>
        <w:t xml:space="preserve">is currently semi-statically configured by the RRC parameter </w:t>
      </w:r>
      <w:proofErr w:type="spellStart"/>
      <w:r w:rsidR="000E370D" w:rsidRPr="006A597C">
        <w:rPr>
          <w:i/>
          <w:iCs/>
          <w:szCs w:val="22"/>
          <w:lang w:val="en-US" w:eastAsia="ko-KR"/>
        </w:rPr>
        <w:t>xOverhead</w:t>
      </w:r>
      <w:proofErr w:type="spellEnd"/>
      <w:r w:rsidR="000E370D" w:rsidRPr="006A597C">
        <w:rPr>
          <w:szCs w:val="22"/>
          <w:lang w:val="en-US" w:eastAsia="ko-KR"/>
        </w:rPr>
        <w:t xml:space="preserve"> </w:t>
      </w:r>
      <w:r w:rsidR="000E370D" w:rsidRPr="006A597C">
        <w:rPr>
          <w:szCs w:val="22"/>
          <w:lang w:val="en-US"/>
        </w:rPr>
        <w:t xml:space="preserve">in </w:t>
      </w:r>
      <w:r w:rsidR="000E370D" w:rsidRPr="006A597C">
        <w:rPr>
          <w:i/>
          <w:iCs/>
          <w:szCs w:val="22"/>
          <w:lang w:val="en-US"/>
        </w:rPr>
        <w:t>PUSCH-</w:t>
      </w:r>
      <w:proofErr w:type="spellStart"/>
      <w:r w:rsidR="000E370D" w:rsidRPr="006A597C">
        <w:rPr>
          <w:i/>
          <w:iCs/>
          <w:szCs w:val="22"/>
          <w:lang w:val="en-US"/>
        </w:rPr>
        <w:t>ServingCellConfig</w:t>
      </w:r>
      <w:proofErr w:type="spellEnd"/>
      <w:r w:rsidR="00A811B5">
        <w:rPr>
          <w:szCs w:val="22"/>
          <w:lang w:val="en-US"/>
        </w:rPr>
        <w:t xml:space="preserve">, with </w:t>
      </w:r>
      <w:proofErr w:type="spellStart"/>
      <w:r w:rsidR="00A811B5" w:rsidRPr="006A597C">
        <w:rPr>
          <w:i/>
          <w:iCs/>
          <w:szCs w:val="22"/>
          <w:lang w:val="en-US" w:eastAsia="ko-KR"/>
        </w:rPr>
        <w:t>xOverhead</w:t>
      </w:r>
      <w:proofErr w:type="spellEnd"/>
      <m:oMath>
        <m:r>
          <w:rPr>
            <w:rFonts w:ascii="Cambria Math" w:hAnsi="Cambria Math"/>
            <w:szCs w:val="22"/>
            <w:lang w:val="en-US" w:eastAsia="ko-KR"/>
          </w:rPr>
          <m:t xml:space="preserve"> ∈{6, 12, 18}</m:t>
        </m:r>
      </m:oMath>
      <w:r w:rsidR="000E370D" w:rsidRPr="006A597C">
        <w:rPr>
          <w:szCs w:val="22"/>
          <w:lang w:val="en-US"/>
        </w:rPr>
        <w:t xml:space="preserve"> </w:t>
      </w:r>
      <w:r w:rsidR="00A811B5">
        <w:rPr>
          <w:szCs w:val="22"/>
          <w:lang w:val="en-US"/>
        </w:rPr>
        <w:t xml:space="preserve">in this case, </w:t>
      </w:r>
      <w:r w:rsidR="000E370D" w:rsidRPr="006A597C">
        <w:rPr>
          <w:szCs w:val="22"/>
          <w:lang w:val="en-US"/>
        </w:rPr>
        <w:t xml:space="preserve">or </w:t>
      </w:r>
      <w:r w:rsidR="00A811B5">
        <w:rPr>
          <w:szCs w:val="22"/>
          <w:lang w:val="en-US"/>
        </w:rPr>
        <w:t>implicitly set to</w:t>
      </w:r>
      <w:r w:rsidR="000E370D" w:rsidRPr="006A597C">
        <w:rPr>
          <w:szCs w:val="22"/>
          <w:lang w:val="en-US"/>
        </w:rPr>
        <w:t xml:space="preserve"> 0 if </w:t>
      </w:r>
      <w:proofErr w:type="spellStart"/>
      <w:r w:rsidR="000E370D" w:rsidRPr="006A597C">
        <w:rPr>
          <w:i/>
          <w:iCs/>
          <w:szCs w:val="22"/>
          <w:lang w:val="en-US" w:eastAsia="ko-KR"/>
        </w:rPr>
        <w:t>xOverhead</w:t>
      </w:r>
      <w:proofErr w:type="spellEnd"/>
      <w:r w:rsidR="006A597C" w:rsidRPr="006A597C">
        <w:rPr>
          <w:i/>
          <w:iCs/>
          <w:szCs w:val="22"/>
          <w:lang w:val="en-US" w:eastAsia="ko-KR"/>
        </w:rPr>
        <w:t xml:space="preserve"> </w:t>
      </w:r>
      <w:r w:rsidR="006A597C" w:rsidRPr="006A597C">
        <w:rPr>
          <w:szCs w:val="22"/>
          <w:lang w:val="en-US" w:eastAsia="ko-KR"/>
        </w:rPr>
        <w:t>is not configured</w:t>
      </w:r>
      <w:r w:rsidR="000E370D" w:rsidRPr="006A597C">
        <w:rPr>
          <w:szCs w:val="22"/>
          <w:lang w:val="en-US"/>
        </w:rPr>
        <w:t xml:space="preserve">. Therefore, to define </w:t>
      </w:r>
      <m:oMath>
        <m:sSubSup>
          <m:sSubSupPr>
            <m:ctrlPr>
              <w:rPr>
                <w:rFonts w:ascii="Cambria Math" w:hAnsi="Cambria Math"/>
                <w:i/>
                <w:iCs/>
                <w:szCs w:val="22"/>
                <w:lang w:val="en-US" w:eastAsia="ko-KR"/>
              </w:rPr>
            </m:ctrlPr>
          </m:sSubSupPr>
          <m:e>
            <m:r>
              <w:rPr>
                <w:rFonts w:ascii="Cambria Math" w:hAnsi="Cambria Math"/>
                <w:szCs w:val="22"/>
                <w:lang w:val="en-US" w:eastAsia="ko-KR"/>
              </w:rPr>
              <m:t>N</m:t>
            </m:r>
          </m:e>
          <m:sub>
            <m:r>
              <w:rPr>
                <w:rFonts w:ascii="Cambria Math" w:hAnsi="Cambria Math"/>
                <w:szCs w:val="22"/>
                <w:lang w:val="en-US" w:eastAsia="ko-KR"/>
              </w:rPr>
              <m:t>oh</m:t>
            </m:r>
          </m:sub>
          <m:sup>
            <m:r>
              <w:rPr>
                <w:rFonts w:ascii="Cambria Math" w:hAnsi="Cambria Math"/>
                <w:szCs w:val="22"/>
                <w:lang w:val="en-US" w:eastAsia="ko-KR"/>
              </w:rPr>
              <m:t>PRB</m:t>
            </m:r>
          </m:sup>
        </m:sSubSup>
      </m:oMath>
      <w:r w:rsidR="000E370D" w:rsidRPr="006A597C">
        <w:rPr>
          <w:szCs w:val="22"/>
          <w:lang w:val="en-US" w:eastAsia="ko-KR"/>
        </w:rPr>
        <w:t xml:space="preserve"> for</w:t>
      </w:r>
      <w:r w:rsidR="000E370D" w:rsidRPr="006A597C">
        <w:rPr>
          <w:szCs w:val="22"/>
          <w:lang w:val="en-US"/>
        </w:rPr>
        <w:t xml:space="preserve"> multi-slot TB scenario, one may need to firstly </w:t>
      </w:r>
      <w:r w:rsidR="00C41508">
        <w:rPr>
          <w:szCs w:val="22"/>
          <w:lang w:val="en-US"/>
        </w:rPr>
        <w:t>define</w:t>
      </w:r>
      <w:r w:rsidR="00A811B5">
        <w:rPr>
          <w:szCs w:val="22"/>
          <w:lang w:val="en-US"/>
        </w:rPr>
        <w:t xml:space="preserve"> additional </w:t>
      </w:r>
      <w:r w:rsidR="000E370D" w:rsidRPr="006A597C">
        <w:rPr>
          <w:szCs w:val="22"/>
          <w:lang w:val="en-US"/>
        </w:rPr>
        <w:t xml:space="preserve">values for </w:t>
      </w:r>
      <w:proofErr w:type="spellStart"/>
      <w:r w:rsidR="000E370D" w:rsidRPr="00FB0ACF">
        <w:rPr>
          <w:i/>
          <w:iCs/>
          <w:szCs w:val="22"/>
          <w:lang w:val="en-US"/>
        </w:rPr>
        <w:t>xOverhead</w:t>
      </w:r>
      <w:proofErr w:type="spellEnd"/>
      <w:r w:rsidR="000E370D" w:rsidRPr="006A597C">
        <w:rPr>
          <w:szCs w:val="22"/>
          <w:lang w:val="en-US"/>
        </w:rPr>
        <w:t>, e.g. {6, 12, 18, A</w:t>
      </w:r>
      <w:r w:rsidR="000E370D" w:rsidRPr="006A597C">
        <w:rPr>
          <w:szCs w:val="22"/>
          <w:vertAlign w:val="subscript"/>
          <w:lang w:val="en-US"/>
        </w:rPr>
        <w:t>1</w:t>
      </w:r>
      <w:r w:rsidR="000E370D" w:rsidRPr="006A597C">
        <w:rPr>
          <w:szCs w:val="22"/>
          <w:lang w:val="en-US"/>
        </w:rPr>
        <w:t>, A</w:t>
      </w:r>
      <w:r w:rsidR="000E370D" w:rsidRPr="006A597C">
        <w:rPr>
          <w:szCs w:val="22"/>
          <w:vertAlign w:val="subscript"/>
          <w:lang w:val="en-US"/>
        </w:rPr>
        <w:t>2</w:t>
      </w:r>
      <w:r w:rsidR="000E370D" w:rsidRPr="006A597C">
        <w:rPr>
          <w:szCs w:val="22"/>
          <w:lang w:val="en-US"/>
        </w:rPr>
        <w:t>, … A</w:t>
      </w:r>
      <w:r w:rsidR="000E370D" w:rsidRPr="006A597C">
        <w:rPr>
          <w:szCs w:val="22"/>
          <w:vertAlign w:val="subscript"/>
          <w:lang w:val="en-US"/>
        </w:rPr>
        <w:t>N</w:t>
      </w:r>
      <w:r w:rsidR="000E370D" w:rsidRPr="006A597C">
        <w:rPr>
          <w:szCs w:val="22"/>
          <w:lang w:val="en-US"/>
        </w:rPr>
        <w:t>} where A</w:t>
      </w:r>
      <w:r w:rsidR="000E370D" w:rsidRPr="006A597C">
        <w:rPr>
          <w:szCs w:val="22"/>
          <w:vertAlign w:val="subscript"/>
          <w:lang w:val="en-US"/>
        </w:rPr>
        <w:t>1</w:t>
      </w:r>
      <w:r w:rsidR="000E370D" w:rsidRPr="006A597C">
        <w:rPr>
          <w:szCs w:val="22"/>
          <w:lang w:val="en-US"/>
        </w:rPr>
        <w:t>, A</w:t>
      </w:r>
      <w:r w:rsidR="000E370D" w:rsidRPr="006A597C">
        <w:rPr>
          <w:szCs w:val="22"/>
          <w:vertAlign w:val="subscript"/>
          <w:lang w:val="en-US"/>
        </w:rPr>
        <w:t>2</w:t>
      </w:r>
      <w:r w:rsidR="000E370D" w:rsidRPr="006A597C">
        <w:rPr>
          <w:szCs w:val="22"/>
          <w:lang w:val="en-US"/>
        </w:rPr>
        <w:t>, … A</w:t>
      </w:r>
      <w:r w:rsidR="000E370D" w:rsidRPr="006A597C">
        <w:rPr>
          <w:szCs w:val="22"/>
          <w:vertAlign w:val="subscript"/>
          <w:lang w:val="en-US"/>
        </w:rPr>
        <w:t>N</w:t>
      </w:r>
      <w:r w:rsidR="000E370D" w:rsidRPr="006A597C">
        <w:rPr>
          <w:szCs w:val="22"/>
          <w:lang w:val="en-US"/>
        </w:rPr>
        <w:t xml:space="preserve"> are positive integer numbers </w:t>
      </w:r>
      <w:r w:rsidR="00A811B5">
        <w:rPr>
          <w:szCs w:val="22"/>
          <w:lang w:val="en-US"/>
        </w:rPr>
        <w:t>larger</w:t>
      </w:r>
      <w:r w:rsidR="000E370D" w:rsidRPr="006A597C">
        <w:rPr>
          <w:szCs w:val="22"/>
          <w:lang w:val="en-US"/>
        </w:rPr>
        <w:t xml:space="preserve"> than 18. </w:t>
      </w:r>
    </w:p>
    <w:p w14:paraId="01C8652A" w14:textId="07DE933C" w:rsidR="00B80C12" w:rsidRPr="00B80C12" w:rsidRDefault="006759D0" w:rsidP="006759D0">
      <w:pPr>
        <w:pStyle w:val="Caption"/>
        <w:spacing w:after="160"/>
        <w:jc w:val="both"/>
        <w:rPr>
          <w:b w:val="0"/>
          <w:bCs/>
          <w:szCs w:val="22"/>
        </w:rPr>
      </w:pPr>
      <w:bookmarkStart w:id="9" w:name="_Toc61633924"/>
      <w:bookmarkStart w:id="10" w:name="_Toc61879091"/>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bookmarkEnd w:id="9"/>
      <w:r w:rsidR="000E370D" w:rsidRPr="006B2BDF">
        <w:rPr>
          <w:bCs/>
          <w:szCs w:val="22"/>
        </w:rPr>
        <w:t xml:space="preserve">Since the length of multi-slot TB varies and can be greater than one slot, a single value of </w:t>
      </w:r>
      <w:proofErr w:type="spellStart"/>
      <w:r w:rsidR="000E370D" w:rsidRPr="00C41508">
        <w:rPr>
          <w:bCs/>
          <w:i/>
          <w:iCs/>
          <w:szCs w:val="22"/>
        </w:rPr>
        <w:t>xOverhead</w:t>
      </w:r>
      <w:proofErr w:type="spellEnd"/>
      <w:r w:rsidR="000E370D" w:rsidRPr="006B2BDF">
        <w:rPr>
          <w:bCs/>
          <w:szCs w:val="22"/>
        </w:rPr>
        <w:t xml:space="preserve"> that is semi-statically configured cannot be used for different </w:t>
      </w:r>
      <w:r w:rsidR="00C41508">
        <w:rPr>
          <w:bCs/>
          <w:szCs w:val="22"/>
        </w:rPr>
        <w:t xml:space="preserve">possible </w:t>
      </w:r>
      <w:r w:rsidR="000E370D" w:rsidRPr="006B2BDF">
        <w:rPr>
          <w:bCs/>
          <w:szCs w:val="22"/>
        </w:rPr>
        <w:t>lengths of multi-slot TB.</w:t>
      </w:r>
      <w:bookmarkEnd w:id="10"/>
    </w:p>
    <w:p w14:paraId="708B2BC0" w14:textId="4E91EE44" w:rsidR="006B2BDF" w:rsidRPr="00CF183D" w:rsidRDefault="00CF183D" w:rsidP="00CF183D">
      <w:pPr>
        <w:jc w:val="both"/>
        <w:rPr>
          <w:b/>
          <w:bCs/>
          <w:szCs w:val="22"/>
          <w:lang w:eastAsia="zh-CN"/>
        </w:rPr>
      </w:pPr>
      <w:r w:rsidRPr="00CF183D">
        <w:rPr>
          <w:szCs w:val="22"/>
        </w:rPr>
        <w:t>A</w:t>
      </w:r>
      <w:r w:rsidR="003D7EA4" w:rsidRPr="00CF183D">
        <w:rPr>
          <w:szCs w:val="22"/>
        </w:rPr>
        <w:t xml:space="preserve"> new way of mapping each value in the set of </w:t>
      </w:r>
      <w:proofErr w:type="spellStart"/>
      <w:r w:rsidR="003D7EA4" w:rsidRPr="00CF183D">
        <w:rPr>
          <w:i/>
          <w:iCs/>
          <w:szCs w:val="22"/>
        </w:rPr>
        <w:t>xOverhead</w:t>
      </w:r>
      <w:proofErr w:type="spellEnd"/>
      <w:r w:rsidR="003D7EA4" w:rsidRPr="00CF183D">
        <w:rPr>
          <w:szCs w:val="22"/>
        </w:rPr>
        <w:t xml:space="preserve"> to a corresponding length of the multi-slot TB </w:t>
      </w:r>
      <w:r w:rsidRPr="00CF183D">
        <w:rPr>
          <w:szCs w:val="22"/>
        </w:rPr>
        <w:t xml:space="preserve">would also </w:t>
      </w:r>
      <w:r w:rsidR="003D7EA4" w:rsidRPr="00CF183D">
        <w:rPr>
          <w:szCs w:val="22"/>
        </w:rPr>
        <w:t>need to be identified.</w:t>
      </w:r>
      <w:r w:rsidRPr="00CF183D">
        <w:rPr>
          <w:szCs w:val="22"/>
        </w:rPr>
        <w:t xml:space="preserve"> One possible straightforward approach would be to </w:t>
      </w:r>
      <w:r w:rsidR="00DC6C8E" w:rsidRPr="00CF183D">
        <w:rPr>
          <w:szCs w:val="22"/>
        </w:rPr>
        <w:t>consider</w:t>
      </w:r>
      <w:r w:rsidRPr="00CF183D">
        <w:rPr>
          <w:szCs w:val="22"/>
        </w:rPr>
        <w:t xml:space="preserve"> that the overhead is counted for the allocated </w:t>
      </w:r>
      <w:proofErr w:type="spellStart"/>
      <w:r w:rsidRPr="00CF183D">
        <w:rPr>
          <w:szCs w:val="22"/>
        </w:rPr>
        <w:t>REs.</w:t>
      </w:r>
      <w:proofErr w:type="spellEnd"/>
      <w:r w:rsidRPr="00CF183D">
        <w:rPr>
          <w:szCs w:val="22"/>
        </w:rPr>
        <w:t xml:space="preserve"> A natural consequence would then be to </w:t>
      </w:r>
      <w:r w:rsidR="00B80C12" w:rsidRPr="00CF183D">
        <w:rPr>
          <w:szCs w:val="22"/>
        </w:rPr>
        <w:t>associate it</w:t>
      </w:r>
      <w:r w:rsidRPr="00CF183D">
        <w:rPr>
          <w:szCs w:val="22"/>
        </w:rPr>
        <w:t xml:space="preserve"> </w:t>
      </w:r>
      <w:r w:rsidR="00B80C12" w:rsidRPr="00CF183D">
        <w:rPr>
          <w:szCs w:val="22"/>
        </w:rPr>
        <w:t xml:space="preserve">with the actual number of PUSCH symbols that are allocated for multi-slot TB transmission, which can also be </w:t>
      </w:r>
      <w:r w:rsidR="003D7EA4" w:rsidRPr="00CF183D">
        <w:rPr>
          <w:szCs w:val="22"/>
        </w:rPr>
        <w:t xml:space="preserve">alternatively </w:t>
      </w:r>
      <w:r w:rsidR="00B80C12" w:rsidRPr="00CF183D">
        <w:rPr>
          <w:szCs w:val="22"/>
        </w:rPr>
        <w:t xml:space="preserve">represented in actual number of slots </w:t>
      </w:r>
      <w:r w:rsidR="003D7EA4" w:rsidRPr="00CF183D">
        <w:rPr>
          <w:szCs w:val="22"/>
        </w:rPr>
        <w:t>allocated for multi-slot TB transmission.</w:t>
      </w:r>
      <w:r w:rsidRPr="00CF183D">
        <w:rPr>
          <w:szCs w:val="22"/>
        </w:rPr>
        <w:t xml:space="preserve"> Suitable scaling of</w:t>
      </w:r>
      <w:r w:rsidR="003D7EA4" w:rsidRPr="00CF183D">
        <w:rPr>
          <w:i/>
          <w:iCs/>
          <w:szCs w:val="22"/>
        </w:rPr>
        <w:t xml:space="preserve"> </w:t>
      </w:r>
      <w:proofErr w:type="spellStart"/>
      <w:r w:rsidR="003D7EA4" w:rsidRPr="00CF183D">
        <w:rPr>
          <w:i/>
          <w:iCs/>
          <w:szCs w:val="22"/>
        </w:rPr>
        <w:t>xOverhead</w:t>
      </w:r>
      <w:proofErr w:type="spellEnd"/>
      <w:r w:rsidR="003D7EA4" w:rsidRPr="00CF183D">
        <w:rPr>
          <w:i/>
          <w:iCs/>
          <w:szCs w:val="22"/>
        </w:rPr>
        <w:t xml:space="preserve"> </w:t>
      </w:r>
      <w:r w:rsidR="003D7EA4" w:rsidRPr="00CF183D">
        <w:rPr>
          <w:szCs w:val="22"/>
        </w:rPr>
        <w:t xml:space="preserve">with the resources allocated to the multi-slot TB transmission </w:t>
      </w:r>
      <w:r w:rsidRPr="00CF183D">
        <w:rPr>
          <w:szCs w:val="22"/>
        </w:rPr>
        <w:t xml:space="preserve">could be identified. Alternatively, different values of </w:t>
      </w:r>
      <w:proofErr w:type="spellStart"/>
      <w:r w:rsidRPr="00CF183D">
        <w:rPr>
          <w:i/>
          <w:iCs/>
          <w:szCs w:val="22"/>
          <w:lang w:eastAsia="zh-CN"/>
        </w:rPr>
        <w:t>xOverhead</w:t>
      </w:r>
      <w:proofErr w:type="spellEnd"/>
      <w:r w:rsidRPr="00CF183D">
        <w:rPr>
          <w:szCs w:val="22"/>
          <w:lang w:eastAsia="zh-CN"/>
        </w:rPr>
        <w:t xml:space="preserve"> </w:t>
      </w:r>
      <w:r>
        <w:rPr>
          <w:szCs w:val="22"/>
          <w:lang w:eastAsia="zh-CN"/>
        </w:rPr>
        <w:t xml:space="preserve">could be defined and configured </w:t>
      </w:r>
      <w:r w:rsidRPr="00CF183D">
        <w:rPr>
          <w:szCs w:val="22"/>
          <w:lang w:eastAsia="zh-CN"/>
        </w:rPr>
        <w:t>for different number of actual PUSCH symbols/slots</w:t>
      </w:r>
      <w:r w:rsidRPr="00CF183D">
        <w:rPr>
          <w:b/>
          <w:bCs/>
          <w:szCs w:val="22"/>
          <w:lang w:eastAsia="zh-CN"/>
        </w:rPr>
        <w:t>.</w:t>
      </w:r>
    </w:p>
    <w:p w14:paraId="2716D6CB" w14:textId="3A50641A" w:rsidR="003D7EA4" w:rsidRDefault="006759D0" w:rsidP="006759D0">
      <w:pPr>
        <w:pStyle w:val="Caption"/>
        <w:jc w:val="both"/>
        <w:rPr>
          <w:bCs/>
          <w:lang w:eastAsia="ko-KR"/>
        </w:rPr>
      </w:pPr>
      <w:bookmarkStart w:id="11" w:name="_Toc61879950"/>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2</w:t>
      </w:r>
      <w:r w:rsidRPr="00B066E0">
        <w:rPr>
          <w:szCs w:val="22"/>
        </w:rPr>
        <w:fldChar w:fldCharType="end"/>
      </w:r>
      <w:r w:rsidRPr="00B066E0">
        <w:rPr>
          <w:szCs w:val="22"/>
        </w:rPr>
        <w:t xml:space="preserve">. </w:t>
      </w:r>
      <w:r w:rsidRPr="00F82838">
        <w:rPr>
          <w:bCs/>
          <w:szCs w:val="22"/>
        </w:rPr>
        <w:t xml:space="preserve">For multi-slot TBS determination, the UE determines the overhead for </w:t>
      </w:r>
      <m:oMath>
        <m:sSubSup>
          <m:sSubSupPr>
            <m:ctrlPr>
              <w:rPr>
                <w:rFonts w:ascii="Cambria Math" w:hAnsi="Cambria Math"/>
                <w:bCs/>
                <w:i/>
                <w:iCs/>
                <w:lang w:eastAsia="ko-KR"/>
              </w:rPr>
            </m:ctrlPr>
          </m:sSubSupPr>
          <m:e>
            <m:r>
              <m:rPr>
                <m:sty m:val="bi"/>
              </m:rPr>
              <w:rPr>
                <w:rFonts w:ascii="Cambria Math"/>
                <w:lang w:eastAsia="ko-KR"/>
              </w:rPr>
              <m:t>N</m:t>
            </m:r>
          </m:e>
          <m:sub>
            <m:r>
              <m:rPr>
                <m:sty m:val="bi"/>
              </m:rPr>
              <w:rPr>
                <w:rFonts w:ascii="Cambria Math"/>
                <w:lang w:eastAsia="ko-KR"/>
              </w:rPr>
              <m:t>RE</m:t>
            </m:r>
          </m:sub>
          <m:sup>
            <m:r>
              <m:rPr>
                <m:sty m:val="bi"/>
              </m:rPr>
              <w:rPr>
                <w:rFonts w:ascii="Cambria Math"/>
                <w:lang w:eastAsia="ko-KR"/>
              </w:rPr>
              <m:t>'</m:t>
            </m:r>
          </m:sup>
        </m:sSubSup>
      </m:oMath>
      <w:r w:rsidRPr="00F82838">
        <w:rPr>
          <w:bCs/>
          <w:szCs w:val="22"/>
        </w:rPr>
        <w:t xml:space="preserve"> calculation </w:t>
      </w:r>
      <w:r w:rsidR="003D7EA4">
        <w:rPr>
          <w:bCs/>
          <w:szCs w:val="22"/>
        </w:rPr>
        <w:t xml:space="preserve">depending on both </w:t>
      </w:r>
      <w:proofErr w:type="spellStart"/>
      <w:r w:rsidR="003D7EA4" w:rsidRPr="003D7EA4">
        <w:rPr>
          <w:bCs/>
          <w:i/>
          <w:iCs/>
          <w:szCs w:val="22"/>
        </w:rPr>
        <w:t>xOverhead</w:t>
      </w:r>
      <w:proofErr w:type="spellEnd"/>
      <w:r w:rsidR="003D7EA4">
        <w:rPr>
          <w:bCs/>
          <w:szCs w:val="22"/>
        </w:rPr>
        <w:t xml:space="preserve"> and </w:t>
      </w:r>
      <w:r>
        <w:rPr>
          <w:bCs/>
          <w:lang w:eastAsia="ko-KR"/>
        </w:rPr>
        <w:t xml:space="preserve">the </w:t>
      </w:r>
      <w:r w:rsidR="003D7EA4">
        <w:rPr>
          <w:bCs/>
          <w:lang w:eastAsia="ko-KR"/>
        </w:rPr>
        <w:t>resources allocated for multi-slot TB transmission, expressed in number of actual PUSCH symbols/slots.</w:t>
      </w:r>
      <w:bookmarkEnd w:id="11"/>
    </w:p>
    <w:p w14:paraId="577B879E" w14:textId="711041F3" w:rsidR="006759D0" w:rsidRPr="003D7EA4" w:rsidRDefault="003D7EA4" w:rsidP="003D7EA4">
      <w:pPr>
        <w:pStyle w:val="Caption"/>
        <w:numPr>
          <w:ilvl w:val="0"/>
          <w:numId w:val="45"/>
        </w:numPr>
        <w:jc w:val="both"/>
        <w:rPr>
          <w:bCs/>
          <w:lang w:eastAsia="ko-KR"/>
        </w:rPr>
      </w:pPr>
      <w:r>
        <w:rPr>
          <w:bCs/>
          <w:lang w:eastAsia="ko-KR"/>
        </w:rPr>
        <w:t>FFS: if the overhead i</w:t>
      </w:r>
      <w:r w:rsidR="009E0E99">
        <w:rPr>
          <w:bCs/>
          <w:lang w:eastAsia="ko-KR"/>
        </w:rPr>
        <w:t>s</w:t>
      </w:r>
      <w:r>
        <w:rPr>
          <w:bCs/>
          <w:lang w:eastAsia="ko-KR"/>
        </w:rPr>
        <w:t xml:space="preserve"> calculated </w:t>
      </w:r>
      <w:r w:rsidRPr="00F82838">
        <w:rPr>
          <w:bCs/>
          <w:lang w:eastAsia="ko-KR"/>
        </w:rPr>
        <w:t xml:space="preserve">by scaling the single slot </w:t>
      </w:r>
      <w:proofErr w:type="spellStart"/>
      <w:r w:rsidRPr="003D7EA4">
        <w:rPr>
          <w:bCs/>
          <w:i/>
          <w:iCs/>
          <w:lang w:eastAsia="ko-KR"/>
        </w:rPr>
        <w:t>xOverhead</w:t>
      </w:r>
      <w:proofErr w:type="spellEnd"/>
      <w:r w:rsidRPr="00F82838">
        <w:rPr>
          <w:bCs/>
          <w:lang w:eastAsia="ko-KR"/>
        </w:rPr>
        <w:t xml:space="preserve"> </w:t>
      </w:r>
      <w:proofErr w:type="spellStart"/>
      <w:r>
        <w:rPr>
          <w:bCs/>
          <w:lang w:eastAsia="ko-KR"/>
        </w:rPr>
        <w:t>w.r.t.</w:t>
      </w:r>
      <w:proofErr w:type="spellEnd"/>
      <w:r>
        <w:rPr>
          <w:bCs/>
          <w:lang w:eastAsia="ko-KR"/>
        </w:rPr>
        <w:t xml:space="preserve"> the resources allocated for multi-slot TB transmission </w:t>
      </w:r>
      <w:r w:rsidR="006759D0" w:rsidRPr="00F82838">
        <w:rPr>
          <w:bCs/>
          <w:lang w:eastAsia="ko-KR"/>
        </w:rPr>
        <w:t>or by configur</w:t>
      </w:r>
      <w:r w:rsidR="006759D0">
        <w:rPr>
          <w:bCs/>
          <w:lang w:eastAsia="ko-KR"/>
        </w:rPr>
        <w:t>ing</w:t>
      </w:r>
      <w:r w:rsidR="006759D0" w:rsidRPr="00F82838">
        <w:rPr>
          <w:bCs/>
          <w:lang w:eastAsia="ko-KR"/>
        </w:rPr>
        <w:t xml:space="preserve"> different values of </w:t>
      </w:r>
      <w:proofErr w:type="spellStart"/>
      <w:r w:rsidR="006759D0" w:rsidRPr="00CF183D">
        <w:rPr>
          <w:bCs/>
          <w:i/>
          <w:iCs/>
          <w:lang w:eastAsia="ko-KR"/>
        </w:rPr>
        <w:t>xOverhead</w:t>
      </w:r>
      <w:proofErr w:type="spellEnd"/>
      <w:r w:rsidR="006759D0" w:rsidRPr="00F82838">
        <w:rPr>
          <w:bCs/>
          <w:lang w:eastAsia="ko-KR"/>
        </w:rPr>
        <w:t xml:space="preserve"> for differen</w:t>
      </w:r>
      <w:r w:rsidR="006759D0">
        <w:rPr>
          <w:bCs/>
          <w:lang w:eastAsia="ko-KR"/>
        </w:rPr>
        <w:t>t number of actual PUSCH symbols/slots.</w:t>
      </w:r>
    </w:p>
    <w:p w14:paraId="6D950CCB" w14:textId="77777777" w:rsidR="006B2BDF" w:rsidRPr="006B2BDF" w:rsidRDefault="006B2BDF" w:rsidP="00FB0ACF">
      <w:pPr>
        <w:pStyle w:val="ListParagraph"/>
        <w:spacing w:after="120"/>
        <w:ind w:left="0"/>
        <w:contextualSpacing w:val="0"/>
        <w:jc w:val="both"/>
        <w:rPr>
          <w:b/>
          <w:bCs/>
          <w:szCs w:val="22"/>
          <w:lang w:val="en-US"/>
        </w:rPr>
      </w:pPr>
    </w:p>
    <w:p w14:paraId="15A60E43" w14:textId="47F1216B" w:rsidR="00FB0ACF" w:rsidRPr="00C0343F" w:rsidRDefault="00860FB1" w:rsidP="006B2BDF">
      <w:pPr>
        <w:pStyle w:val="Heading3"/>
        <w:rPr>
          <w:iCs/>
          <w:lang w:val="fi-FI" w:eastAsia="zh-CN"/>
        </w:rPr>
      </w:pPr>
      <m:oMath>
        <m:sSub>
          <m:sSubPr>
            <m:ctrlPr>
              <w:rPr>
                <w:rFonts w:ascii="Cambria Math" w:hAnsi="Cambria Math"/>
                <w:iCs/>
                <w:lang w:val="en-US" w:eastAsia="ko-KR"/>
              </w:rPr>
            </m:ctrlPr>
          </m:sSubPr>
          <m:e>
            <m:r>
              <m:rPr>
                <m:sty m:val="b"/>
              </m:rPr>
              <w:rPr>
                <w:rFonts w:ascii="Cambria Math" w:hAnsi="Cambria Math"/>
                <w:lang w:eastAsia="ko-KR"/>
              </w:rPr>
              <m:t>N</m:t>
            </m:r>
          </m:e>
          <m:sub>
            <m:r>
              <m:rPr>
                <m:sty m:val="b"/>
              </m:rPr>
              <w:rPr>
                <w:rFonts w:ascii="Cambria Math" w:hAnsi="Cambria Math"/>
                <w:lang w:eastAsia="ko-KR"/>
              </w:rPr>
              <m:t>RE</m:t>
            </m:r>
          </m:sub>
        </m:sSub>
      </m:oMath>
      <w:r w:rsidR="00FB0ACF" w:rsidRPr="00C0343F">
        <w:rPr>
          <w:iCs/>
          <w:lang w:eastAsia="ko-KR"/>
        </w:rPr>
        <w:t xml:space="preserve"> calculation</w:t>
      </w:r>
      <w:r w:rsidR="000E370D" w:rsidRPr="00C0343F">
        <w:rPr>
          <w:rFonts w:ascii="Times New Roman" w:hAnsi="Times New Roman"/>
          <w:iCs/>
          <w:lang w:val="en-US" w:eastAsia="ko-KR"/>
        </w:rPr>
        <w:t xml:space="preserve"> </w:t>
      </w:r>
    </w:p>
    <w:p w14:paraId="2834A8A3" w14:textId="71C2D9D0" w:rsidR="00C0343F" w:rsidRDefault="00C0343F" w:rsidP="00FB0ACF">
      <w:pPr>
        <w:pStyle w:val="ListParagraph"/>
        <w:spacing w:after="120"/>
        <w:ind w:left="0"/>
        <w:contextualSpacing w:val="0"/>
        <w:jc w:val="both"/>
        <w:rPr>
          <w:iCs/>
          <w:lang w:val="en-US" w:eastAsia="ko-KR"/>
        </w:rPr>
      </w:pPr>
      <w:r w:rsidRPr="00C0343F">
        <w:rPr>
          <w:iCs/>
          <w:szCs w:val="22"/>
          <w:lang w:val="en-US" w:eastAsia="ko-KR"/>
        </w:rPr>
        <w:t xml:space="preserve">In Rel-16, </w:t>
      </w:r>
      <w:r w:rsidRPr="00C0343F">
        <w:rPr>
          <w:iCs/>
          <w:lang w:val="en-US" w:eastAsia="ko-KR"/>
        </w:rPr>
        <w:t>the total number of REs allocated for PUSCH (</w:t>
      </w:r>
      <m:oMath>
        <m:sSub>
          <m:sSubPr>
            <m:ctrlPr>
              <w:rPr>
                <w:rFonts w:ascii="Cambria Math" w:hAnsi="Cambria Math"/>
                <w:iCs/>
                <w:lang w:val="en-US" w:eastAsia="ko-KR"/>
              </w:rPr>
            </m:ctrlPr>
          </m:sSubPr>
          <m:e>
            <m:r>
              <m:rPr>
                <m:sty m:val="p"/>
              </m:rPr>
              <w:rPr>
                <w:rFonts w:ascii="Cambria Math"/>
                <w:lang w:val="en-US" w:eastAsia="ko-KR"/>
              </w:rPr>
              <m:t>N</m:t>
            </m:r>
          </m:e>
          <m:sub>
            <m:r>
              <m:rPr>
                <m:sty m:val="p"/>
              </m:rPr>
              <w:rPr>
                <w:rFonts w:ascii="Cambria Math"/>
                <w:lang w:val="en-US" w:eastAsia="ko-KR"/>
              </w:rPr>
              <m:t>RE</m:t>
            </m:r>
          </m:sub>
        </m:sSub>
      </m:oMath>
      <w:r w:rsidRPr="00C0343F">
        <w:rPr>
          <w:iCs/>
          <w:lang w:val="en-US" w:eastAsia="ko-KR"/>
        </w:rPr>
        <w:t>)</w:t>
      </w:r>
      <w:r>
        <w:rPr>
          <w:iCs/>
          <w:lang w:val="en-US" w:eastAsia="ko-KR"/>
        </w:rPr>
        <w:t xml:space="preserve"> is defined</w:t>
      </w:r>
      <w:r w:rsidRPr="00C0343F">
        <w:rPr>
          <w:iCs/>
          <w:lang w:val="en-US" w:eastAsia="ko-KR"/>
        </w:rPr>
        <w:fldChar w:fldCharType="begin"/>
      </w:r>
      <w:r w:rsidRPr="00C0343F">
        <w:rPr>
          <w:iCs/>
          <w:lang w:val="en-US" w:eastAsia="ko-KR"/>
        </w:rPr>
        <w:instrText xml:space="preserve"> QUOTE </w:instrText>
      </w:r>
      <m:oMath>
        <m:sSub>
          <m:sSubPr>
            <m:ctrlPr>
              <w:rPr>
                <w:rFonts w:ascii="Cambria Math" w:hAnsi="Cambria Math"/>
                <w:iCs/>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sidRPr="00C0343F">
        <w:rPr>
          <w:iCs/>
          <w:lang w:val="en-US" w:eastAsia="ko-KR"/>
        </w:rPr>
        <w:instrText xml:space="preserve"> </w:instrText>
      </w:r>
      <w:r w:rsidRPr="00C0343F">
        <w:rPr>
          <w:iCs/>
          <w:lang w:val="en-US" w:eastAsia="ko-KR"/>
        </w:rPr>
        <w:fldChar w:fldCharType="end"/>
      </w:r>
      <w:r w:rsidRPr="00C0343F">
        <w:rPr>
          <w:iCs/>
          <w:lang w:val="en-US" w:eastAsia="ko-KR"/>
        </w:rPr>
        <w:t xml:space="preserve"> </w:t>
      </w:r>
      <w:r w:rsidR="00CF183D">
        <w:rPr>
          <w:iCs/>
          <w:lang w:val="en-US" w:eastAsia="ko-KR"/>
        </w:rPr>
        <w:t>as</w:t>
      </w:r>
      <w:r>
        <w:rPr>
          <w:iCs/>
          <w:lang w:val="en-US" w:eastAsia="ko-KR"/>
        </w:rPr>
        <w:t>:</w:t>
      </w:r>
    </w:p>
    <w:p w14:paraId="78CE3BD9" w14:textId="1ADAE50D" w:rsidR="00C0343F" w:rsidRDefault="00860FB1" w:rsidP="00C0343F">
      <w:pPr>
        <w:pStyle w:val="ListParagraph"/>
        <w:spacing w:after="120"/>
        <w:ind w:left="0"/>
        <w:contextualSpacing w:val="0"/>
        <w:jc w:val="center"/>
        <w:rPr>
          <w:iCs/>
          <w:lang w:val="en-US" w:eastAsia="ko-KR"/>
        </w:rPr>
      </w:pPr>
      <m:oMath>
        <m:sSub>
          <m:sSubPr>
            <m:ctrlPr>
              <w:rPr>
                <w:rFonts w:ascii="Cambria Math" w:hAnsi="Cambria Math"/>
                <w:iCs/>
                <w:lang w:val="en-US" w:eastAsia="ko-KR"/>
              </w:rPr>
            </m:ctrlPr>
          </m:sSubPr>
          <m:e>
            <m:r>
              <m:rPr>
                <m:sty m:val="p"/>
              </m:rPr>
              <w:rPr>
                <w:rFonts w:ascii="Cambria Math"/>
                <w:lang w:val="en-US" w:eastAsia="ko-KR"/>
              </w:rPr>
              <m:t>N</m:t>
            </m:r>
          </m:e>
          <m:sub>
            <m:r>
              <m:rPr>
                <m:sty m:val="p"/>
              </m:rPr>
              <w:rPr>
                <w:rFonts w:ascii="Cambria Math"/>
                <w:lang w:val="en-US" w:eastAsia="ko-KR"/>
              </w:rPr>
              <m:t>RE</m:t>
            </m:r>
          </m:sub>
        </m:sSub>
        <m:r>
          <m:rPr>
            <m:sty m:val="p"/>
          </m:rPr>
          <w:rPr>
            <w:rFonts w:ascii="Cambria Math"/>
            <w:lang w:val="en-US" w:eastAsia="ko-KR"/>
          </w:rPr>
          <m:t>=</m:t>
        </m:r>
        <m:func>
          <m:funcPr>
            <m:ctrlPr>
              <w:rPr>
                <w:rFonts w:ascii="Cambria Math" w:hAnsi="Cambria Math"/>
                <w:iCs/>
                <w:lang w:val="en-US" w:eastAsia="ko-KR"/>
              </w:rPr>
            </m:ctrlPr>
          </m:funcPr>
          <m:fName>
            <m:r>
              <m:rPr>
                <m:sty m:val="p"/>
              </m:rPr>
              <w:rPr>
                <w:rFonts w:ascii="Cambria Math"/>
                <w:lang w:val="en-US" w:eastAsia="ko-KR"/>
              </w:rPr>
              <m:t>min</m:t>
            </m:r>
          </m:fName>
          <m:e>
            <m:d>
              <m:dPr>
                <m:ctrlPr>
                  <w:rPr>
                    <w:rFonts w:ascii="Cambria Math" w:hAnsi="Cambria Math"/>
                    <w:iCs/>
                    <w:lang w:val="en-US" w:eastAsia="ko-KR"/>
                  </w:rPr>
                </m:ctrlPr>
              </m:dPr>
              <m:e>
                <m:r>
                  <m:rPr>
                    <m:sty m:val="p"/>
                  </m:rPr>
                  <w:rPr>
                    <w:rFonts w:ascii="Cambria Math"/>
                    <w:lang w:val="en-US" w:eastAsia="ko-KR"/>
                  </w:rPr>
                  <m:t>156,</m:t>
                </m:r>
                <m:sSubSup>
                  <m:sSubSupPr>
                    <m:ctrlPr>
                      <w:rPr>
                        <w:rFonts w:ascii="Cambria Math" w:hAnsi="Cambria Math"/>
                        <w:iCs/>
                        <w:lang w:val="en-US" w:eastAsia="ko-KR"/>
                      </w:rPr>
                    </m:ctrlPr>
                  </m:sSubSupPr>
                  <m:e>
                    <m:r>
                      <m:rPr>
                        <m:sty m:val="p"/>
                      </m:rPr>
                      <w:rPr>
                        <w:rFonts w:ascii="Cambria Math"/>
                        <w:lang w:val="en-US" w:eastAsia="ko-KR"/>
                      </w:rPr>
                      <m:t>N</m:t>
                    </m:r>
                  </m:e>
                  <m:sub>
                    <m:r>
                      <m:rPr>
                        <m:sty m:val="p"/>
                      </m:rPr>
                      <w:rPr>
                        <w:rFonts w:ascii="Cambria Math"/>
                        <w:lang w:val="en-US" w:eastAsia="ko-KR"/>
                      </w:rPr>
                      <m:t>RE</m:t>
                    </m:r>
                  </m:sub>
                  <m:sup>
                    <m:r>
                      <m:rPr>
                        <m:sty m:val="p"/>
                      </m:rPr>
                      <w:rPr>
                        <w:rFonts w:ascii="Cambria Math"/>
                        <w:lang w:val="en-US" w:eastAsia="ko-KR"/>
                      </w:rPr>
                      <m:t>'</m:t>
                    </m:r>
                  </m:sup>
                </m:sSubSup>
              </m:e>
            </m:d>
          </m:e>
        </m:func>
        <m:r>
          <m:rPr>
            <m:sty m:val="p"/>
          </m:rPr>
          <w:rPr>
            <w:rFonts w:ascii="Cambria Math" w:hAnsi="Cambria Math" w:cs="Cambria Math"/>
            <w:lang w:val="en-US" w:eastAsia="ko-KR"/>
          </w:rPr>
          <m:t>⋅</m:t>
        </m:r>
        <m:sSub>
          <m:sSubPr>
            <m:ctrlPr>
              <w:rPr>
                <w:rFonts w:ascii="Cambria Math" w:hAnsi="Cambria Math"/>
                <w:iCs/>
                <w:lang w:val="en-US" w:eastAsia="ko-KR"/>
              </w:rPr>
            </m:ctrlPr>
          </m:sSubPr>
          <m:e>
            <m:r>
              <m:rPr>
                <m:sty m:val="p"/>
              </m:rPr>
              <w:rPr>
                <w:rFonts w:ascii="Cambria Math"/>
                <w:lang w:val="en-US" w:eastAsia="ko-KR"/>
              </w:rPr>
              <m:t>n</m:t>
            </m:r>
          </m:e>
          <m:sub>
            <m:r>
              <m:rPr>
                <m:sty m:val="p"/>
              </m:rPr>
              <w:rPr>
                <w:rFonts w:ascii="Cambria Math"/>
                <w:lang w:val="en-US" w:eastAsia="ko-KR"/>
              </w:rPr>
              <m:t>PRB</m:t>
            </m:r>
          </m:sub>
        </m:sSub>
      </m:oMath>
      <w:r w:rsidR="00C0343F" w:rsidRPr="00C0343F">
        <w:rPr>
          <w:iCs/>
          <w:lang w:val="en-US" w:eastAsia="ko-KR"/>
        </w:rPr>
        <w:fldChar w:fldCharType="begin"/>
      </w:r>
      <w:r w:rsidR="00C0343F" w:rsidRPr="00C0343F">
        <w:rPr>
          <w:iCs/>
          <w:lang w:val="en-US" w:eastAsia="ko-KR"/>
        </w:rPr>
        <w:instrText xml:space="preserve"> QUOTE </w:instrText>
      </w:r>
      <m:oMath>
        <m:sSub>
          <m:sSubPr>
            <m:ctrlPr>
              <w:rPr>
                <w:rFonts w:ascii="Cambria Math" w:hAnsi="Cambria Math"/>
                <w:iCs/>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Cs/>
                <w:lang w:val="en-US" w:eastAsia="ko-KR"/>
              </w:rPr>
            </m:ctrlPr>
          </m:sSubSupPr>
          <m:e>
            <m:acc>
              <m:accPr>
                <m:chr m:val="̅"/>
                <m:ctrlPr>
                  <w:rPr>
                    <w:rFonts w:ascii="Cambria Math" w:hAnsi="Cambria Math"/>
                    <w:iCs/>
                    <w:lang w:val="en-US"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Cs/>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sidR="00C0343F" w:rsidRPr="00C0343F">
        <w:rPr>
          <w:iCs/>
          <w:lang w:val="en-US" w:eastAsia="ko-KR"/>
        </w:rPr>
        <w:instrText xml:space="preserve"> </w:instrText>
      </w:r>
      <w:r w:rsidR="00C0343F" w:rsidRPr="00C0343F">
        <w:rPr>
          <w:iCs/>
          <w:lang w:val="en-US" w:eastAsia="ko-KR"/>
        </w:rPr>
        <w:fldChar w:fldCharType="end"/>
      </w:r>
      <w:r w:rsidR="00C0343F" w:rsidRPr="00C0343F">
        <w:rPr>
          <w:iCs/>
          <w:lang w:val="en-US" w:eastAsia="ko-KR"/>
        </w:rPr>
        <w:t>,</w:t>
      </w:r>
    </w:p>
    <w:p w14:paraId="4960D6A8" w14:textId="6DD287E6" w:rsidR="00B6084F" w:rsidRDefault="00C0343F" w:rsidP="00FB0ACF">
      <w:pPr>
        <w:pStyle w:val="ListParagraph"/>
        <w:spacing w:after="120"/>
        <w:ind w:left="0"/>
        <w:contextualSpacing w:val="0"/>
        <w:jc w:val="both"/>
        <w:rPr>
          <w:iCs/>
          <w:szCs w:val="22"/>
          <w:lang w:val="en-US" w:eastAsia="ko-KR"/>
        </w:rPr>
      </w:pPr>
      <w:r w:rsidRPr="00C0343F">
        <w:rPr>
          <w:iCs/>
          <w:lang w:val="en-US" w:eastAsia="ko-KR"/>
        </w:rPr>
        <w:t xml:space="preserve">where </w:t>
      </w:r>
      <w:proofErr w:type="spellStart"/>
      <w:r w:rsidRPr="00C0343F">
        <w:rPr>
          <w:iCs/>
          <w:lang w:val="en-US" w:eastAsia="ko-KR"/>
        </w:rPr>
        <w:t>n</w:t>
      </w:r>
      <w:r w:rsidRPr="00C0343F">
        <w:rPr>
          <w:iCs/>
          <w:vertAlign w:val="subscript"/>
          <w:lang w:val="en-US" w:eastAsia="ko-KR"/>
        </w:rPr>
        <w:t>PRB</w:t>
      </w:r>
      <w:proofErr w:type="spellEnd"/>
      <w:r w:rsidRPr="00C0343F">
        <w:rPr>
          <w:iCs/>
          <w:lang w:val="en-US" w:eastAsia="ko-KR"/>
        </w:rPr>
        <w:t xml:space="preserve"> is the </w:t>
      </w:r>
      <w:r w:rsidRPr="00C0343F">
        <w:rPr>
          <w:iCs/>
          <w:lang w:val="en-US"/>
        </w:rPr>
        <w:t>total number of allocated PRBs</w:t>
      </w:r>
      <w:r w:rsidRPr="00C0343F">
        <w:rPr>
          <w:iCs/>
          <w:lang w:val="en-US" w:eastAsia="ko-KR"/>
        </w:rPr>
        <w:t xml:space="preserve"> </w:t>
      </w:r>
      <w:r w:rsidRPr="00C0343F">
        <w:rPr>
          <w:iCs/>
          <w:lang w:val="en-US"/>
        </w:rPr>
        <w:t>for the UE</w:t>
      </w:r>
      <w:r w:rsidR="00CF183D">
        <w:rPr>
          <w:iCs/>
          <w:lang w:val="en-US"/>
        </w:rPr>
        <w:t xml:space="preserve">, and </w:t>
      </w:r>
      <w:r w:rsidR="000E370D" w:rsidRPr="006A597C">
        <w:rPr>
          <w:iCs/>
          <w:szCs w:val="22"/>
          <w:lang w:val="en-US" w:eastAsia="ko-KR"/>
        </w:rPr>
        <w:t xml:space="preserve">156 </w:t>
      </w:r>
      <w:r w:rsidR="00CF183D">
        <w:rPr>
          <w:iCs/>
          <w:szCs w:val="22"/>
          <w:lang w:val="en-US" w:eastAsia="ko-KR"/>
        </w:rPr>
        <w:t xml:space="preserve">represents the </w:t>
      </w:r>
      <w:r w:rsidR="00CF183D" w:rsidRPr="006A597C">
        <w:rPr>
          <w:iCs/>
          <w:szCs w:val="22"/>
          <w:lang w:val="en-US" w:eastAsia="ko-KR"/>
        </w:rPr>
        <w:t xml:space="preserve">maximum </w:t>
      </w:r>
      <w:r w:rsidR="00CF183D">
        <w:rPr>
          <w:iCs/>
          <w:szCs w:val="22"/>
          <w:lang w:val="en-US" w:eastAsia="ko-KR"/>
        </w:rPr>
        <w:t xml:space="preserve">number of REs </w:t>
      </w:r>
      <w:r w:rsidR="00CF183D" w:rsidRPr="006A597C">
        <w:rPr>
          <w:iCs/>
          <w:szCs w:val="22"/>
          <w:lang w:val="en-US" w:eastAsia="ko-KR"/>
        </w:rPr>
        <w:t>that can be allocated in a slot</w:t>
      </w:r>
      <w:r w:rsidR="00CF183D">
        <w:rPr>
          <w:iCs/>
          <w:szCs w:val="22"/>
          <w:lang w:val="en-US" w:eastAsia="ko-KR"/>
        </w:rPr>
        <w:t xml:space="preserve">, i.e., </w:t>
      </w:r>
      <w:r w:rsidR="00CF183D" w:rsidRPr="006A597C">
        <w:rPr>
          <w:iCs/>
          <w:szCs w:val="22"/>
          <w:lang w:val="en-US" w:eastAsia="ko-KR"/>
        </w:rPr>
        <w:t>12*13</w:t>
      </w:r>
      <w:r w:rsidR="00CF183D">
        <w:rPr>
          <w:iCs/>
          <w:szCs w:val="22"/>
          <w:lang w:val="en-US" w:eastAsia="ko-KR"/>
        </w:rPr>
        <w:t>.</w:t>
      </w:r>
      <w:r w:rsidR="00CF183D" w:rsidRPr="006A597C">
        <w:rPr>
          <w:iCs/>
          <w:szCs w:val="22"/>
          <w:lang w:val="en-US" w:eastAsia="ko-KR"/>
        </w:rPr>
        <w:t xml:space="preserve"> </w:t>
      </w:r>
      <w:r w:rsidR="00CF183D">
        <w:rPr>
          <w:iCs/>
          <w:szCs w:val="22"/>
          <w:lang w:val="en-US" w:eastAsia="ko-KR"/>
        </w:rPr>
        <w:t xml:space="preserve">This </w:t>
      </w:r>
      <w:r w:rsidR="009E0E99">
        <w:rPr>
          <w:iCs/>
          <w:szCs w:val="22"/>
          <w:lang w:val="en-US" w:eastAsia="ko-KR"/>
        </w:rPr>
        <w:t>reference number</w:t>
      </w:r>
      <w:r w:rsidR="00CF183D">
        <w:rPr>
          <w:iCs/>
          <w:szCs w:val="22"/>
          <w:lang w:val="en-US" w:eastAsia="ko-KR"/>
        </w:rPr>
        <w:t xml:space="preserve"> </w:t>
      </w:r>
      <w:r w:rsidR="000E370D" w:rsidRPr="006A597C">
        <w:rPr>
          <w:iCs/>
          <w:szCs w:val="22"/>
          <w:lang w:val="en-US" w:eastAsia="ko-KR"/>
        </w:rPr>
        <w:t xml:space="preserve">was specified </w:t>
      </w:r>
      <w:r w:rsidR="00CF183D">
        <w:rPr>
          <w:iCs/>
          <w:szCs w:val="22"/>
          <w:lang w:val="en-US" w:eastAsia="ko-KR"/>
        </w:rPr>
        <w:t xml:space="preserve">assuming the case that </w:t>
      </w:r>
      <w:r w:rsidR="000E370D" w:rsidRPr="006A597C">
        <w:rPr>
          <w:iCs/>
          <w:szCs w:val="22"/>
          <w:lang w:val="en-US" w:eastAsia="ko-KR"/>
        </w:rPr>
        <w:t xml:space="preserve">a TB is confined to one slot (14 symbols). In multi-slot TB scenario, </w:t>
      </w:r>
      <w:r w:rsidR="009E0E99">
        <w:rPr>
          <w:iCs/>
          <w:szCs w:val="22"/>
          <w:lang w:val="en-US" w:eastAsia="ko-KR"/>
        </w:rPr>
        <w:t>the reference number</w:t>
      </w:r>
      <w:r w:rsidR="000E370D" w:rsidRPr="006A597C">
        <w:rPr>
          <w:iCs/>
          <w:szCs w:val="22"/>
          <w:lang w:val="en-US" w:eastAsia="ko-KR"/>
        </w:rPr>
        <w:t xml:space="preserve"> needs to be </w:t>
      </w:r>
      <w:r>
        <w:rPr>
          <w:iCs/>
          <w:szCs w:val="22"/>
          <w:lang w:val="en-US" w:eastAsia="ko-KR"/>
        </w:rPr>
        <w:t>associated</w:t>
      </w:r>
      <w:r w:rsidR="000E370D" w:rsidRPr="006A597C">
        <w:rPr>
          <w:iCs/>
          <w:szCs w:val="22"/>
          <w:lang w:val="en-US" w:eastAsia="ko-KR"/>
        </w:rPr>
        <w:t xml:space="preserve"> with the total actual number of </w:t>
      </w:r>
      <w:r>
        <w:rPr>
          <w:iCs/>
          <w:szCs w:val="22"/>
          <w:lang w:val="en-US" w:eastAsia="ko-KR"/>
        </w:rPr>
        <w:t xml:space="preserve">PUSCH </w:t>
      </w:r>
      <w:r w:rsidR="000E370D" w:rsidRPr="006A597C">
        <w:rPr>
          <w:iCs/>
          <w:szCs w:val="22"/>
          <w:lang w:val="en-US" w:eastAsia="ko-KR"/>
        </w:rPr>
        <w:t>symbols across multiple slots that are used to convey the multi-slot TB</w:t>
      </w:r>
      <w:r w:rsidR="0019369F">
        <w:rPr>
          <w:iCs/>
          <w:szCs w:val="22"/>
          <w:lang w:val="en-US" w:eastAsia="ko-KR"/>
        </w:rPr>
        <w:t>.</w:t>
      </w:r>
      <w:r>
        <w:rPr>
          <w:iCs/>
          <w:szCs w:val="22"/>
          <w:lang w:val="en-US" w:eastAsia="ko-KR"/>
        </w:rPr>
        <w:t xml:space="preserve"> This can be done </w:t>
      </w:r>
      <w:r w:rsidR="00CE76FA">
        <w:rPr>
          <w:iCs/>
          <w:szCs w:val="22"/>
          <w:lang w:val="en-US" w:eastAsia="ko-KR"/>
        </w:rPr>
        <w:t>in several ways. For example</w:t>
      </w:r>
      <w:r w:rsidR="009E0E99">
        <w:rPr>
          <w:iCs/>
          <w:szCs w:val="22"/>
          <w:lang w:val="en-US" w:eastAsia="ko-KR"/>
        </w:rPr>
        <w:t>, it may</w:t>
      </w:r>
      <w:r w:rsidR="00CE76FA">
        <w:rPr>
          <w:iCs/>
          <w:szCs w:val="22"/>
          <w:lang w:val="en-US" w:eastAsia="ko-KR"/>
        </w:rPr>
        <w:t xml:space="preserve"> be calculated </w:t>
      </w:r>
      <w:r w:rsidR="009E0E99">
        <w:rPr>
          <w:iCs/>
          <w:szCs w:val="22"/>
          <w:lang w:val="en-US" w:eastAsia="ko-KR"/>
        </w:rPr>
        <w:t>by subtracting</w:t>
      </w:r>
      <m:oMath>
        <m:r>
          <w:rPr>
            <w:rFonts w:ascii="Cambria Math" w:hAnsi="Cambria Math"/>
            <w:szCs w:val="22"/>
            <w:lang w:val="en-US" w:eastAsia="ko-KR"/>
          </w:rPr>
          <m:t xml:space="preserve"> xOverhead</m:t>
        </m:r>
      </m:oMath>
      <w:r w:rsidR="009E0E99">
        <w:rPr>
          <w:szCs w:val="22"/>
          <w:lang w:val="en-US" w:eastAsia="ko-KR"/>
        </w:rPr>
        <w:t xml:space="preserve"> to the number of REs inside the actual number of symbols used for transmitting the TB.</w:t>
      </w:r>
      <w:r w:rsidR="009E0E99">
        <w:rPr>
          <w:iCs/>
          <w:szCs w:val="22"/>
          <w:lang w:val="en-US" w:eastAsia="ko-KR"/>
        </w:rPr>
        <w:t xml:space="preserve"> Alternatively, it could be obtained by scaling 156 with the nominal number of allocated slots, the actual number of allocated slots, and so on. </w:t>
      </w:r>
    </w:p>
    <w:p w14:paraId="6F141B8B" w14:textId="2B500CD1" w:rsidR="009E0E99" w:rsidRPr="002364CC" w:rsidRDefault="0002702A" w:rsidP="00C0343F">
      <w:pPr>
        <w:pStyle w:val="ListParagraph"/>
        <w:spacing w:after="120"/>
        <w:ind w:left="0"/>
        <w:contextualSpacing w:val="0"/>
        <w:jc w:val="both"/>
        <w:rPr>
          <w:bCs/>
          <w:lang w:val="en-US" w:eastAsia="ko-KR"/>
        </w:rPr>
      </w:pPr>
      <w:bookmarkStart w:id="12" w:name="_Toc61879951"/>
      <w:r w:rsidRPr="002364CC">
        <w:rPr>
          <w:b/>
          <w:bCs/>
          <w:szCs w:val="22"/>
          <w:lang w:val="en-US"/>
        </w:rPr>
        <w:t xml:space="preserve">Proposal </w:t>
      </w:r>
      <w:r w:rsidRPr="002364CC">
        <w:rPr>
          <w:b/>
          <w:bCs/>
          <w:szCs w:val="22"/>
          <w:lang w:val="en-US"/>
        </w:rPr>
        <w:fldChar w:fldCharType="begin"/>
      </w:r>
      <w:r w:rsidRPr="002364CC">
        <w:rPr>
          <w:b/>
          <w:bCs/>
          <w:szCs w:val="22"/>
          <w:lang w:val="en-US"/>
        </w:rPr>
        <w:instrText xml:space="preserve"> SEQ Proposal \* ARABIC </w:instrText>
      </w:r>
      <w:r w:rsidRPr="002364CC">
        <w:rPr>
          <w:b/>
          <w:bCs/>
          <w:szCs w:val="22"/>
          <w:lang w:val="en-US"/>
        </w:rPr>
        <w:fldChar w:fldCharType="separate"/>
      </w:r>
      <w:r w:rsidRPr="002364CC">
        <w:rPr>
          <w:b/>
          <w:bCs/>
          <w:szCs w:val="22"/>
          <w:lang w:val="en-US"/>
        </w:rPr>
        <w:t>3</w:t>
      </w:r>
      <w:r w:rsidRPr="002364CC">
        <w:rPr>
          <w:b/>
          <w:bCs/>
          <w:szCs w:val="22"/>
          <w:lang w:val="en-US"/>
        </w:rPr>
        <w:fldChar w:fldCharType="end"/>
      </w:r>
      <w:r w:rsidRPr="002364CC">
        <w:rPr>
          <w:b/>
          <w:bCs/>
          <w:szCs w:val="22"/>
          <w:lang w:val="en-US"/>
        </w:rPr>
        <w:t>.</w:t>
      </w:r>
      <w:r w:rsidRPr="002364CC">
        <w:rPr>
          <w:szCs w:val="22"/>
          <w:lang w:val="en-US"/>
        </w:rPr>
        <w:t xml:space="preserve"> </w:t>
      </w:r>
      <w:r w:rsidR="00C0343F" w:rsidRPr="002364CC">
        <w:rPr>
          <w:b/>
          <w:bCs/>
          <w:szCs w:val="22"/>
          <w:lang w:val="en-US"/>
        </w:rPr>
        <w:t xml:space="preserve">For multi-slot TBS determination, the UE determines the </w:t>
      </w:r>
      <w:r w:rsidR="009E0E99" w:rsidRPr="002364CC">
        <w:rPr>
          <w:b/>
          <w:bCs/>
          <w:szCs w:val="22"/>
          <w:lang w:val="en-US"/>
        </w:rPr>
        <w:t>reference number</w:t>
      </w:r>
      <w:r w:rsidR="00C0343F" w:rsidRPr="002364CC">
        <w:rPr>
          <w:b/>
          <w:bCs/>
          <w:szCs w:val="22"/>
          <w:lang w:val="en-US"/>
        </w:rPr>
        <w:t xml:space="preserve"> for </w:t>
      </w:r>
      <m:oMath>
        <m:sSub>
          <m:sSubPr>
            <m:ctrlPr>
              <w:rPr>
                <w:rFonts w:ascii="Cambria Math" w:hAnsi="Cambria Math"/>
                <w:b/>
                <w:bCs/>
                <w:i/>
                <w:szCs w:val="22"/>
                <w:lang w:val="en-US"/>
              </w:rPr>
            </m:ctrlPr>
          </m:sSubPr>
          <m:e>
            <m:r>
              <m:rPr>
                <m:sty m:val="bi"/>
              </m:rPr>
              <w:rPr>
                <w:rFonts w:ascii="Cambria Math" w:hAnsi="Cambria Math"/>
                <w:szCs w:val="22"/>
                <w:lang w:val="en-US"/>
              </w:rPr>
              <m:t>N</m:t>
            </m:r>
          </m:e>
          <m:sub>
            <m:r>
              <m:rPr>
                <m:sty m:val="bi"/>
              </m:rPr>
              <w:rPr>
                <w:rFonts w:ascii="Cambria Math" w:hAnsi="Cambria Math"/>
                <w:szCs w:val="22"/>
                <w:lang w:val="en-US"/>
              </w:rPr>
              <m:t>RE</m:t>
            </m:r>
          </m:sub>
        </m:sSub>
      </m:oMath>
      <w:r w:rsidR="009E0E99" w:rsidRPr="002364CC">
        <w:rPr>
          <w:b/>
          <w:bCs/>
          <w:szCs w:val="22"/>
          <w:lang w:val="en-US"/>
        </w:rPr>
        <w:t xml:space="preserve"> calculation</w:t>
      </w:r>
      <w:r w:rsidR="00C0343F" w:rsidRPr="002364CC">
        <w:rPr>
          <w:b/>
          <w:bCs/>
          <w:szCs w:val="22"/>
          <w:lang w:val="en-US"/>
        </w:rPr>
        <w:t xml:space="preserve"> </w:t>
      </w:r>
      <w:r w:rsidR="009E0E99" w:rsidRPr="002364CC">
        <w:rPr>
          <w:b/>
          <w:szCs w:val="22"/>
          <w:lang w:val="en-US"/>
        </w:rPr>
        <w:t xml:space="preserve">depending on both </w:t>
      </w:r>
      <w:proofErr w:type="spellStart"/>
      <w:r w:rsidR="009E0E99" w:rsidRPr="002364CC">
        <w:rPr>
          <w:b/>
          <w:i/>
          <w:iCs/>
          <w:szCs w:val="22"/>
          <w:lang w:val="en-US"/>
        </w:rPr>
        <w:t>xOverhead</w:t>
      </w:r>
      <w:proofErr w:type="spellEnd"/>
      <w:r w:rsidR="009E0E99" w:rsidRPr="002364CC">
        <w:rPr>
          <w:b/>
          <w:szCs w:val="22"/>
          <w:lang w:val="en-US"/>
        </w:rPr>
        <w:t xml:space="preserve"> and </w:t>
      </w:r>
      <w:r w:rsidR="009E0E99" w:rsidRPr="002364CC">
        <w:rPr>
          <w:b/>
          <w:lang w:val="en-US" w:eastAsia="ko-KR"/>
        </w:rPr>
        <w:t>the resources allocated for multi-slot TB transmission, expressed in</w:t>
      </w:r>
      <w:r w:rsidR="009E0E99" w:rsidRPr="002364CC">
        <w:rPr>
          <w:bCs/>
          <w:lang w:val="en-US" w:eastAsia="ko-KR"/>
        </w:rPr>
        <w:t xml:space="preserve"> </w:t>
      </w:r>
      <w:r w:rsidR="009E0E99" w:rsidRPr="002364CC">
        <w:rPr>
          <w:b/>
          <w:bCs/>
          <w:lang w:val="en-US" w:eastAsia="ko-KR"/>
        </w:rPr>
        <w:t>number of actual PUSCH symbols/slots</w:t>
      </w:r>
      <w:r w:rsidR="009E0E99" w:rsidRPr="002364CC">
        <w:rPr>
          <w:bCs/>
          <w:lang w:val="en-US" w:eastAsia="ko-KR"/>
        </w:rPr>
        <w:t>.</w:t>
      </w:r>
      <w:bookmarkEnd w:id="12"/>
    </w:p>
    <w:p w14:paraId="2C9C9EA4" w14:textId="52D9E175" w:rsidR="009E0E99" w:rsidRPr="009E0E99" w:rsidRDefault="009E0E99" w:rsidP="009E0E99">
      <w:pPr>
        <w:pStyle w:val="Caption"/>
        <w:numPr>
          <w:ilvl w:val="0"/>
          <w:numId w:val="45"/>
        </w:numPr>
        <w:jc w:val="both"/>
        <w:rPr>
          <w:bCs/>
          <w:lang w:eastAsia="ko-KR"/>
        </w:rPr>
      </w:pPr>
      <w:r>
        <w:rPr>
          <w:bCs/>
          <w:lang w:eastAsia="ko-KR"/>
        </w:rPr>
        <w:t xml:space="preserve">FFS: </w:t>
      </w:r>
      <w:r w:rsidR="0002702A">
        <w:rPr>
          <w:bCs/>
          <w:lang w:eastAsia="ko-KR"/>
        </w:rPr>
        <w:t>how</w:t>
      </w:r>
      <w:r>
        <w:rPr>
          <w:bCs/>
          <w:lang w:eastAsia="ko-KR"/>
        </w:rPr>
        <w:t xml:space="preserve"> </w:t>
      </w:r>
      <w:r w:rsidR="0002702A">
        <w:rPr>
          <w:bCs/>
          <w:lang w:eastAsia="ko-KR"/>
        </w:rPr>
        <w:t xml:space="preserve">different multi-slot parameters and configurations are used to determine the </w:t>
      </w:r>
      <w:r w:rsidRPr="009E0E99">
        <w:rPr>
          <w:szCs w:val="22"/>
        </w:rPr>
        <w:t>reference number</w:t>
      </w:r>
      <w:r>
        <w:rPr>
          <w:bCs/>
          <w:lang w:eastAsia="ko-KR"/>
        </w:rPr>
        <w:t xml:space="preserve"> for</w:t>
      </w:r>
      <w:r w:rsidRPr="00C0343F">
        <w:rPr>
          <w:bCs/>
          <w:szCs w:val="22"/>
        </w:rPr>
        <w:t xml:space="preserve"> </w:t>
      </w:r>
      <m:oMath>
        <m:sSub>
          <m:sSubPr>
            <m:ctrlPr>
              <w:rPr>
                <w:rFonts w:ascii="Cambria Math" w:hAnsi="Cambria Math"/>
                <w:bCs/>
                <w:i/>
                <w:szCs w:val="22"/>
              </w:rPr>
            </m:ctrlPr>
          </m:sSubPr>
          <m:e>
            <m:r>
              <m:rPr>
                <m:sty m:val="bi"/>
              </m:rPr>
              <w:rPr>
                <w:rFonts w:ascii="Cambria Math" w:hAnsi="Cambria Math"/>
                <w:szCs w:val="22"/>
              </w:rPr>
              <m:t>N</m:t>
            </m:r>
          </m:e>
          <m:sub>
            <m:r>
              <m:rPr>
                <m:sty m:val="bi"/>
              </m:rPr>
              <w:rPr>
                <w:rFonts w:ascii="Cambria Math" w:hAnsi="Cambria Math"/>
                <w:szCs w:val="22"/>
              </w:rPr>
              <m:t>RE</m:t>
            </m:r>
          </m:sub>
        </m:sSub>
      </m:oMath>
      <w:r>
        <w:rPr>
          <w:bCs/>
          <w:szCs w:val="22"/>
        </w:rPr>
        <w:t xml:space="preserve"> calculation </w:t>
      </w:r>
      <w:r w:rsidR="0002702A">
        <w:rPr>
          <w:bCs/>
          <w:lang w:eastAsia="ko-KR"/>
        </w:rPr>
        <w:t>in case of multi-slot TB transmission.</w:t>
      </w:r>
    </w:p>
    <w:p w14:paraId="7FB642A2" w14:textId="77777777" w:rsidR="0019369F" w:rsidRPr="009E0E99" w:rsidRDefault="0019369F" w:rsidP="00FB0ACF">
      <w:pPr>
        <w:pStyle w:val="ListParagraph"/>
        <w:spacing w:after="120"/>
        <w:ind w:left="0"/>
        <w:contextualSpacing w:val="0"/>
        <w:jc w:val="both"/>
        <w:rPr>
          <w:szCs w:val="22"/>
          <w:lang w:val="en-US"/>
        </w:rPr>
      </w:pPr>
    </w:p>
    <w:p w14:paraId="5D1493D5" w14:textId="77777777" w:rsidR="00A06404" w:rsidRPr="002B6050" w:rsidRDefault="00A06404" w:rsidP="005832EF">
      <w:pPr>
        <w:pStyle w:val="Heading2"/>
        <w:rPr>
          <w:lang w:val="en-US"/>
        </w:rPr>
      </w:pPr>
      <w:r w:rsidRPr="002B6050">
        <w:rPr>
          <w:lang w:val="en-US"/>
        </w:rPr>
        <w:t>Indication method for enabling multi-slot TB transmission</w:t>
      </w:r>
    </w:p>
    <w:p w14:paraId="7978410B" w14:textId="77777777" w:rsidR="00A06404" w:rsidRPr="002B6050" w:rsidRDefault="00A06404" w:rsidP="005832EF">
      <w:pPr>
        <w:jc w:val="both"/>
        <w:rPr>
          <w:szCs w:val="22"/>
        </w:rPr>
      </w:pPr>
      <w:r w:rsidRPr="002B6050">
        <w:rPr>
          <w:szCs w:val="22"/>
        </w:rPr>
        <w:t>In order to distinguish between multi-slot TB and the legacy single-slot TB transmission, the indication method should be applied per PUSCH scheduling/configuration. Two main options are identified:</w:t>
      </w:r>
    </w:p>
    <w:p w14:paraId="15644E11" w14:textId="629AC7AA" w:rsidR="00A06404" w:rsidRPr="002B6050" w:rsidRDefault="00A06404" w:rsidP="005832EF">
      <w:pPr>
        <w:pStyle w:val="ListParagraph"/>
        <w:numPr>
          <w:ilvl w:val="0"/>
          <w:numId w:val="32"/>
        </w:numPr>
        <w:contextualSpacing w:val="0"/>
        <w:jc w:val="both"/>
        <w:rPr>
          <w:szCs w:val="22"/>
          <w:lang w:val="en-US"/>
        </w:rPr>
      </w:pPr>
      <w:r>
        <w:rPr>
          <w:szCs w:val="22"/>
          <w:lang w:val="en-US"/>
        </w:rPr>
        <w:t>Option 1:</w:t>
      </w:r>
      <w:r w:rsidRPr="002B6050">
        <w:rPr>
          <w:szCs w:val="22"/>
          <w:lang w:val="en-US"/>
        </w:rPr>
        <w:t xml:space="preserve"> </w:t>
      </w:r>
      <w:r>
        <w:rPr>
          <w:szCs w:val="22"/>
          <w:lang w:val="en-US"/>
        </w:rPr>
        <w:t>I</w:t>
      </w:r>
      <w:r w:rsidRPr="002B6050">
        <w:rPr>
          <w:szCs w:val="22"/>
          <w:lang w:val="en-US"/>
        </w:rPr>
        <w:t>ntroduc</w:t>
      </w:r>
      <w:r>
        <w:rPr>
          <w:szCs w:val="22"/>
          <w:lang w:val="en-US"/>
        </w:rPr>
        <w:t>ing</w:t>
      </w:r>
      <w:r w:rsidRPr="002B6050">
        <w:rPr>
          <w:szCs w:val="22"/>
          <w:lang w:val="en-US"/>
        </w:rPr>
        <w:t xml:space="preserve"> </w:t>
      </w:r>
      <w:r w:rsidR="0097315A">
        <w:rPr>
          <w:szCs w:val="22"/>
          <w:lang w:val="en-US"/>
        </w:rPr>
        <w:t>a new</w:t>
      </w:r>
      <w:r w:rsidRPr="002B6050">
        <w:rPr>
          <w:szCs w:val="22"/>
          <w:lang w:val="en-US"/>
        </w:rPr>
        <w:t xml:space="preserve"> field in the scheduling DCI</w:t>
      </w:r>
      <w:r>
        <w:rPr>
          <w:szCs w:val="22"/>
          <w:lang w:val="en-US"/>
        </w:rPr>
        <w:t xml:space="preserve"> (or </w:t>
      </w:r>
      <w:r w:rsidR="0097315A">
        <w:rPr>
          <w:szCs w:val="22"/>
          <w:lang w:val="en-US"/>
        </w:rPr>
        <w:t xml:space="preserve">an </w:t>
      </w:r>
      <w:r>
        <w:rPr>
          <w:szCs w:val="22"/>
          <w:lang w:val="en-US"/>
        </w:rPr>
        <w:t>RRC parameter</w:t>
      </w:r>
      <w:r w:rsidR="007D7EE3">
        <w:rPr>
          <w:szCs w:val="22"/>
          <w:lang w:val="en-US"/>
        </w:rPr>
        <w:t xml:space="preserve"> in case of configured grant</w:t>
      </w:r>
      <w:r>
        <w:rPr>
          <w:szCs w:val="22"/>
          <w:lang w:val="en-US"/>
        </w:rPr>
        <w:t>)</w:t>
      </w:r>
      <w:r w:rsidRPr="002B6050">
        <w:rPr>
          <w:szCs w:val="22"/>
          <w:lang w:val="en-US"/>
        </w:rPr>
        <w:t xml:space="preserve"> for the indication. </w:t>
      </w:r>
      <w:r>
        <w:rPr>
          <w:szCs w:val="22"/>
          <w:lang w:val="en-US"/>
        </w:rPr>
        <w:t>This option is simple to be specified, h</w:t>
      </w:r>
      <w:r w:rsidRPr="002B6050">
        <w:rPr>
          <w:szCs w:val="22"/>
          <w:lang w:val="en-US"/>
        </w:rPr>
        <w:t>owever, the limitation of this approach is not only that it increases the DCI payload but also that the DCI field is not always useful</w:t>
      </w:r>
      <w:r w:rsidR="0002702A">
        <w:rPr>
          <w:szCs w:val="22"/>
          <w:lang w:val="en-US"/>
        </w:rPr>
        <w:t xml:space="preserve"> for the UE</w:t>
      </w:r>
      <w:r w:rsidRPr="002B6050">
        <w:rPr>
          <w:szCs w:val="22"/>
          <w:lang w:val="en-US"/>
        </w:rPr>
        <w:t xml:space="preserve">, e.g. when the UE is not in coverage shortage. </w:t>
      </w:r>
      <w:r w:rsidR="00A82B51">
        <w:rPr>
          <w:szCs w:val="22"/>
          <w:lang w:val="en-US"/>
        </w:rPr>
        <w:t>It may be observed t</w:t>
      </w:r>
      <w:r w:rsidRPr="002B6050">
        <w:rPr>
          <w:szCs w:val="22"/>
          <w:lang w:val="en-US"/>
        </w:rPr>
        <w:t>hat this feature c</w:t>
      </w:r>
      <w:r w:rsidR="00A82B51">
        <w:rPr>
          <w:szCs w:val="22"/>
          <w:lang w:val="en-US"/>
        </w:rPr>
        <w:t>ould</w:t>
      </w:r>
      <w:r w:rsidRPr="002B6050">
        <w:rPr>
          <w:szCs w:val="22"/>
          <w:lang w:val="en-US"/>
        </w:rPr>
        <w:t xml:space="preserve"> be applied for </w:t>
      </w:r>
      <w:r w:rsidR="00A82B51">
        <w:rPr>
          <w:szCs w:val="22"/>
          <w:lang w:val="en-US"/>
        </w:rPr>
        <w:t xml:space="preserve">CE </w:t>
      </w:r>
      <w:r w:rsidRPr="002B6050">
        <w:rPr>
          <w:szCs w:val="22"/>
          <w:lang w:val="en-US"/>
        </w:rPr>
        <w:t xml:space="preserve">UEs, </w:t>
      </w:r>
      <w:r w:rsidR="00A82B51">
        <w:rPr>
          <w:szCs w:val="22"/>
          <w:lang w:val="en-US"/>
        </w:rPr>
        <w:t xml:space="preserve">even when no coverage shortage is experiences. The relevance of this use case </w:t>
      </w:r>
      <w:r w:rsidRPr="002B6050">
        <w:rPr>
          <w:szCs w:val="22"/>
          <w:lang w:val="en-US"/>
        </w:rPr>
        <w:t>is not so clear</w:t>
      </w:r>
      <w:r w:rsidR="00A82B51">
        <w:rPr>
          <w:szCs w:val="22"/>
          <w:lang w:val="en-US"/>
        </w:rPr>
        <w:t>,</w:t>
      </w:r>
      <w:r w:rsidRPr="002B6050">
        <w:rPr>
          <w:szCs w:val="22"/>
          <w:lang w:val="en-US"/>
        </w:rPr>
        <w:t xml:space="preserve"> unless </w:t>
      </w:r>
      <w:r w:rsidR="00A82B51">
        <w:rPr>
          <w:szCs w:val="22"/>
          <w:lang w:val="en-US"/>
        </w:rPr>
        <w:t>specific applications are considered</w:t>
      </w:r>
      <w:r w:rsidRPr="002B6050">
        <w:rPr>
          <w:szCs w:val="22"/>
          <w:lang w:val="en-US"/>
        </w:rPr>
        <w:t xml:space="preserve">, </w:t>
      </w:r>
      <w:r w:rsidR="00A82B51">
        <w:rPr>
          <w:szCs w:val="22"/>
          <w:lang w:val="en-US"/>
        </w:rPr>
        <w:t>e.g., URLLC (</w:t>
      </w:r>
      <w:r w:rsidRPr="002B6050">
        <w:rPr>
          <w:szCs w:val="22"/>
          <w:lang w:val="en-US"/>
        </w:rPr>
        <w:t>which typicall</w:t>
      </w:r>
      <w:r w:rsidR="00A82B51">
        <w:rPr>
          <w:szCs w:val="22"/>
          <w:lang w:val="en-US"/>
        </w:rPr>
        <w:t>y already make use of</w:t>
      </w:r>
      <w:r w:rsidRPr="002B6050">
        <w:rPr>
          <w:szCs w:val="22"/>
          <w:lang w:val="en-US"/>
        </w:rPr>
        <w:t xml:space="preserve"> small packet size and low coding rate</w:t>
      </w:r>
      <w:r w:rsidR="00A82B51">
        <w:rPr>
          <w:szCs w:val="22"/>
          <w:lang w:val="en-US"/>
        </w:rPr>
        <w:t>)</w:t>
      </w:r>
      <w:r w:rsidRPr="002B6050">
        <w:rPr>
          <w:szCs w:val="22"/>
          <w:lang w:val="en-US"/>
        </w:rPr>
        <w:t xml:space="preserve">. </w:t>
      </w:r>
    </w:p>
    <w:p w14:paraId="4ED42CD8" w14:textId="4874C946" w:rsidR="009F6C3B" w:rsidRPr="009F6C3B" w:rsidRDefault="00A06404" w:rsidP="005832EF">
      <w:pPr>
        <w:pStyle w:val="ListParagraph"/>
        <w:numPr>
          <w:ilvl w:val="0"/>
          <w:numId w:val="32"/>
        </w:numPr>
        <w:spacing w:after="120"/>
        <w:contextualSpacing w:val="0"/>
        <w:jc w:val="both"/>
        <w:rPr>
          <w:strike/>
          <w:szCs w:val="22"/>
          <w:lang w:val="en-US"/>
        </w:rPr>
      </w:pPr>
      <w:r w:rsidRPr="009F6C3B">
        <w:rPr>
          <w:szCs w:val="22"/>
          <w:lang w:val="en-US"/>
        </w:rPr>
        <w:t>Option 2: Reusing some available field in the DCI (or</w:t>
      </w:r>
      <w:r w:rsidR="007D7EE3">
        <w:rPr>
          <w:szCs w:val="22"/>
          <w:lang w:val="en-US"/>
        </w:rPr>
        <w:t xml:space="preserve"> an</w:t>
      </w:r>
      <w:r w:rsidRPr="009F6C3B">
        <w:rPr>
          <w:szCs w:val="22"/>
          <w:lang w:val="en-US"/>
        </w:rPr>
        <w:t xml:space="preserve"> RRC parameter</w:t>
      </w:r>
      <w:r w:rsidR="007D7EE3">
        <w:rPr>
          <w:szCs w:val="22"/>
          <w:lang w:val="en-US"/>
        </w:rPr>
        <w:t xml:space="preserve"> in case of configured grant</w:t>
      </w:r>
      <w:r w:rsidRPr="009F6C3B">
        <w:rPr>
          <w:szCs w:val="22"/>
          <w:lang w:val="en-US"/>
        </w:rPr>
        <w:t xml:space="preserve">) for triggering the feature. For example, </w:t>
      </w:r>
      <w:r w:rsidR="009F6C3B" w:rsidRPr="009F6C3B">
        <w:rPr>
          <w:szCs w:val="22"/>
          <w:lang w:val="en-US"/>
        </w:rPr>
        <w:t>some</w:t>
      </w:r>
      <w:r w:rsidRPr="009F6C3B">
        <w:rPr>
          <w:szCs w:val="22"/>
          <w:lang w:val="en-US"/>
        </w:rPr>
        <w:t xml:space="preserve"> row</w:t>
      </w:r>
      <w:r w:rsidR="009F6C3B" w:rsidRPr="009F6C3B">
        <w:rPr>
          <w:szCs w:val="22"/>
          <w:lang w:val="en-US"/>
        </w:rPr>
        <w:t>s</w:t>
      </w:r>
      <w:r w:rsidRPr="009F6C3B">
        <w:rPr>
          <w:szCs w:val="22"/>
          <w:lang w:val="en-US"/>
        </w:rPr>
        <w:t xml:space="preserve"> in the TDRA table can be implicitly associated (e.g. </w:t>
      </w:r>
      <w:r w:rsidR="007D44DA" w:rsidRPr="009F6C3B">
        <w:rPr>
          <w:szCs w:val="22"/>
          <w:lang w:val="en-US"/>
        </w:rPr>
        <w:t>configured with a new PUSCH mapping type C</w:t>
      </w:r>
      <w:r w:rsidRPr="009F6C3B">
        <w:rPr>
          <w:szCs w:val="22"/>
          <w:lang w:val="en-US"/>
        </w:rPr>
        <w:t xml:space="preserve">) with multi-slot TB transmission and selected by TDRA field in the DCI. This </w:t>
      </w:r>
      <w:r w:rsidR="009F6C3B" w:rsidRPr="009F6C3B">
        <w:rPr>
          <w:szCs w:val="22"/>
          <w:lang w:val="en-US"/>
        </w:rPr>
        <w:t>option could</w:t>
      </w:r>
      <w:r w:rsidRPr="009F6C3B">
        <w:rPr>
          <w:szCs w:val="22"/>
          <w:lang w:val="en-US"/>
        </w:rPr>
        <w:t xml:space="preserve"> limit the scheduling flexibility </w:t>
      </w:r>
      <w:r w:rsidR="009F6C3B" w:rsidRPr="009F6C3B">
        <w:rPr>
          <w:szCs w:val="22"/>
          <w:lang w:val="en-US"/>
        </w:rPr>
        <w:t>unless the TDRA table is extended</w:t>
      </w:r>
      <w:r w:rsidR="00512231">
        <w:rPr>
          <w:szCs w:val="22"/>
          <w:lang w:val="en-US"/>
        </w:rPr>
        <w:t>.</w:t>
      </w:r>
      <w:r w:rsidR="004C7810">
        <w:rPr>
          <w:szCs w:val="22"/>
          <w:lang w:val="en-US"/>
        </w:rPr>
        <w:t xml:space="preserve"> </w:t>
      </w:r>
      <w:r w:rsidR="00512231">
        <w:rPr>
          <w:szCs w:val="22"/>
          <w:lang w:val="en-US"/>
        </w:rPr>
        <w:t>Therefore, it is suitable for</w:t>
      </w:r>
      <w:r w:rsidR="00512231" w:rsidRPr="009F6C3B">
        <w:rPr>
          <w:szCs w:val="22"/>
          <w:lang w:val="en-US"/>
        </w:rPr>
        <w:t xml:space="preserve"> Option</w:t>
      </w:r>
      <w:r w:rsidR="00CA5C1B">
        <w:rPr>
          <w:szCs w:val="22"/>
          <w:lang w:val="en-US"/>
        </w:rPr>
        <w:t>s</w:t>
      </w:r>
      <w:r w:rsidR="00512231" w:rsidRPr="009F6C3B">
        <w:rPr>
          <w:szCs w:val="22"/>
          <w:lang w:val="en-US"/>
        </w:rPr>
        <w:t xml:space="preserve"> 2</w:t>
      </w:r>
      <w:r w:rsidR="00CA5C1B">
        <w:rPr>
          <w:szCs w:val="22"/>
          <w:lang w:val="en-US"/>
        </w:rPr>
        <w:t xml:space="preserve"> or 3</w:t>
      </w:r>
      <w:r w:rsidR="00512231" w:rsidRPr="009F6C3B">
        <w:rPr>
          <w:szCs w:val="22"/>
          <w:lang w:val="en-US"/>
        </w:rPr>
        <w:t xml:space="preserve"> </w:t>
      </w:r>
      <w:r w:rsidR="00512231">
        <w:rPr>
          <w:szCs w:val="22"/>
          <w:lang w:val="en-US"/>
        </w:rPr>
        <w:t>in</w:t>
      </w:r>
      <w:r w:rsidR="00512231" w:rsidRPr="009F6C3B">
        <w:rPr>
          <w:szCs w:val="22"/>
          <w:lang w:val="en-US"/>
        </w:rPr>
        <w:t xml:space="preserve"> Section </w:t>
      </w:r>
      <w:r w:rsidR="00512231" w:rsidRPr="009F6C3B">
        <w:rPr>
          <w:szCs w:val="22"/>
          <w:lang w:val="en-US"/>
        </w:rPr>
        <w:fldChar w:fldCharType="begin"/>
      </w:r>
      <w:r w:rsidR="00512231" w:rsidRPr="009F6C3B">
        <w:rPr>
          <w:szCs w:val="22"/>
          <w:lang w:val="en-US"/>
        </w:rPr>
        <w:instrText xml:space="preserve"> REF _Ref61020781 \r \h </w:instrText>
      </w:r>
      <w:r w:rsidR="00EF434A">
        <w:rPr>
          <w:szCs w:val="22"/>
          <w:lang w:val="en-US"/>
        </w:rPr>
        <w:instrText xml:space="preserve"> \* MERGEFORMAT </w:instrText>
      </w:r>
      <w:r w:rsidR="00512231" w:rsidRPr="009F6C3B">
        <w:rPr>
          <w:szCs w:val="22"/>
          <w:lang w:val="en-US"/>
        </w:rPr>
      </w:r>
      <w:r w:rsidR="00512231" w:rsidRPr="009F6C3B">
        <w:rPr>
          <w:szCs w:val="22"/>
          <w:lang w:val="en-US"/>
        </w:rPr>
        <w:fldChar w:fldCharType="separate"/>
      </w:r>
      <w:r w:rsidR="00B16D64">
        <w:rPr>
          <w:szCs w:val="22"/>
          <w:lang w:val="en-US"/>
        </w:rPr>
        <w:t>2.1</w:t>
      </w:r>
      <w:r w:rsidR="00512231" w:rsidRPr="009F6C3B">
        <w:rPr>
          <w:szCs w:val="22"/>
          <w:lang w:val="en-US"/>
        </w:rPr>
        <w:fldChar w:fldCharType="end"/>
      </w:r>
      <w:r w:rsidRPr="009F6C3B">
        <w:rPr>
          <w:szCs w:val="22"/>
          <w:lang w:val="en-US"/>
        </w:rPr>
        <w:t xml:space="preserve">. </w:t>
      </w:r>
    </w:p>
    <w:p w14:paraId="0305ACB2" w14:textId="6FD0FFC8" w:rsidR="00A86CFF" w:rsidRDefault="00A86CFF" w:rsidP="005832EF">
      <w:pPr>
        <w:spacing w:after="120"/>
        <w:jc w:val="both"/>
        <w:rPr>
          <w:szCs w:val="22"/>
        </w:rPr>
      </w:pPr>
      <w:r>
        <w:rPr>
          <w:szCs w:val="22"/>
        </w:rPr>
        <w:t>From the above discussion, it can be observed that each option has pros and cons and their applicability may depend on how the time-domain resource is indicated</w:t>
      </w:r>
      <w:r w:rsidR="005442BB">
        <w:rPr>
          <w:szCs w:val="22"/>
        </w:rPr>
        <w:t xml:space="preserve"> and determined</w:t>
      </w:r>
      <w:r w:rsidR="00837DB4">
        <w:rPr>
          <w:szCs w:val="22"/>
        </w:rPr>
        <w:t>, which need further discussion in RAN1.</w:t>
      </w:r>
    </w:p>
    <w:p w14:paraId="6E1D84A7" w14:textId="03FC76ED" w:rsidR="00A06404" w:rsidRPr="00C66130" w:rsidRDefault="00A82B51" w:rsidP="00A82B51">
      <w:pPr>
        <w:pStyle w:val="ListParagraph"/>
        <w:spacing w:after="120"/>
        <w:ind w:left="0"/>
        <w:contextualSpacing w:val="0"/>
        <w:jc w:val="both"/>
        <w:rPr>
          <w:b/>
          <w:bCs/>
          <w:szCs w:val="22"/>
          <w:lang w:val="en-US"/>
        </w:rPr>
      </w:pPr>
      <w:bookmarkStart w:id="13" w:name="_Toc61879952"/>
      <w:r w:rsidRPr="00C66130">
        <w:rPr>
          <w:b/>
          <w:bCs/>
          <w:szCs w:val="22"/>
          <w:lang w:val="en-US"/>
        </w:rPr>
        <w:t xml:space="preserve">Proposal </w:t>
      </w:r>
      <w:r w:rsidRPr="00C66130">
        <w:rPr>
          <w:b/>
          <w:bCs/>
          <w:szCs w:val="22"/>
          <w:lang w:val="en-US"/>
        </w:rPr>
        <w:fldChar w:fldCharType="begin"/>
      </w:r>
      <w:r w:rsidRPr="00C66130">
        <w:rPr>
          <w:b/>
          <w:bCs/>
          <w:szCs w:val="22"/>
          <w:lang w:val="en-US"/>
        </w:rPr>
        <w:instrText xml:space="preserve"> SEQ Proposal \* ARABIC </w:instrText>
      </w:r>
      <w:r w:rsidRPr="00C66130">
        <w:rPr>
          <w:b/>
          <w:bCs/>
          <w:szCs w:val="22"/>
          <w:lang w:val="en-US"/>
        </w:rPr>
        <w:fldChar w:fldCharType="separate"/>
      </w:r>
      <w:r w:rsidRPr="00C66130">
        <w:rPr>
          <w:b/>
          <w:bCs/>
          <w:szCs w:val="22"/>
          <w:lang w:val="en-US"/>
        </w:rPr>
        <w:t>4</w:t>
      </w:r>
      <w:r w:rsidRPr="00C66130">
        <w:rPr>
          <w:b/>
          <w:bCs/>
          <w:szCs w:val="22"/>
          <w:lang w:val="en-US"/>
        </w:rPr>
        <w:fldChar w:fldCharType="end"/>
      </w:r>
      <w:r w:rsidRPr="00C66130">
        <w:rPr>
          <w:b/>
          <w:bCs/>
          <w:szCs w:val="22"/>
          <w:lang w:val="en-US"/>
        </w:rPr>
        <w:t>.</w:t>
      </w:r>
      <w:r w:rsidRPr="00C66130">
        <w:rPr>
          <w:szCs w:val="22"/>
          <w:lang w:val="en-US"/>
        </w:rPr>
        <w:t xml:space="preserve"> </w:t>
      </w:r>
      <w:r w:rsidR="00A06404" w:rsidRPr="00C66130">
        <w:rPr>
          <w:b/>
          <w:bCs/>
          <w:szCs w:val="22"/>
          <w:lang w:val="en-US"/>
        </w:rPr>
        <w:t>RAN1 to specify an indication method for enabling multi-slot TB transmission per PUSCH scheduling/configuration.</w:t>
      </w:r>
      <w:bookmarkEnd w:id="13"/>
    </w:p>
    <w:p w14:paraId="7D76DEB2" w14:textId="74F59DDA" w:rsidR="00A06404" w:rsidRPr="00593EE5" w:rsidRDefault="00A06404" w:rsidP="005832EF">
      <w:pPr>
        <w:pStyle w:val="ListParagraph"/>
        <w:numPr>
          <w:ilvl w:val="0"/>
          <w:numId w:val="34"/>
        </w:numPr>
        <w:jc w:val="both"/>
        <w:rPr>
          <w:b/>
          <w:bCs/>
          <w:szCs w:val="22"/>
          <w:lang w:val="en-US"/>
        </w:rPr>
      </w:pPr>
      <w:r w:rsidRPr="00593EE5">
        <w:rPr>
          <w:b/>
          <w:bCs/>
          <w:szCs w:val="22"/>
          <w:lang w:val="en-US"/>
        </w:rPr>
        <w:t xml:space="preserve">FFS: Details of the indication method, including introducing a new field or reusing the available field in the scheduling DCI (or RRC parameter in case of configured grant configuration), e.g. </w:t>
      </w:r>
      <w:r w:rsidR="007230B2">
        <w:rPr>
          <w:b/>
          <w:bCs/>
          <w:szCs w:val="22"/>
          <w:lang w:val="en-US"/>
        </w:rPr>
        <w:t>some</w:t>
      </w:r>
      <w:r w:rsidRPr="00593EE5">
        <w:rPr>
          <w:b/>
          <w:bCs/>
          <w:szCs w:val="22"/>
          <w:lang w:val="en-US"/>
        </w:rPr>
        <w:t xml:space="preserve"> row</w:t>
      </w:r>
      <w:r w:rsidR="007230B2">
        <w:rPr>
          <w:b/>
          <w:bCs/>
          <w:szCs w:val="22"/>
          <w:lang w:val="en-US"/>
        </w:rPr>
        <w:t>s</w:t>
      </w:r>
      <w:r w:rsidRPr="00593EE5">
        <w:rPr>
          <w:b/>
          <w:bCs/>
          <w:szCs w:val="22"/>
          <w:lang w:val="en-US"/>
        </w:rPr>
        <w:t xml:space="preserve"> in the TDRA table </w:t>
      </w:r>
      <w:r w:rsidR="00A82B51">
        <w:rPr>
          <w:b/>
          <w:bCs/>
          <w:szCs w:val="22"/>
          <w:lang w:val="en-US"/>
        </w:rPr>
        <w:t>are used to</w:t>
      </w:r>
      <w:r w:rsidRPr="00593EE5">
        <w:rPr>
          <w:b/>
          <w:bCs/>
          <w:szCs w:val="22"/>
          <w:lang w:val="en-US"/>
        </w:rPr>
        <w:t xml:space="preserve"> configure for multi-slot TB transmission.</w:t>
      </w:r>
    </w:p>
    <w:p w14:paraId="247D7D6E" w14:textId="77777777" w:rsidR="00A06404" w:rsidRPr="002B6050" w:rsidRDefault="00A06404" w:rsidP="005832EF"/>
    <w:bookmarkEnd w:id="2"/>
    <w:p w14:paraId="10445A01" w14:textId="480CC7E1" w:rsidR="00885580" w:rsidRPr="002B6050" w:rsidRDefault="007820D0" w:rsidP="005832EF">
      <w:pPr>
        <w:pStyle w:val="Heading1"/>
        <w:rPr>
          <w:lang w:val="en-US"/>
        </w:rPr>
      </w:pPr>
      <w:r w:rsidRPr="002B6050">
        <w:rPr>
          <w:lang w:val="en-US"/>
        </w:rPr>
        <w:t>Conclusion</w:t>
      </w:r>
    </w:p>
    <w:p w14:paraId="38BAF615" w14:textId="081C9E8C" w:rsidR="0002702A" w:rsidRPr="0070037F" w:rsidRDefault="0002702A" w:rsidP="0002702A">
      <w:pPr>
        <w:spacing w:after="240"/>
        <w:jc w:val="both"/>
        <w:rPr>
          <w:szCs w:val="22"/>
          <w:lang w:eastAsia="zh-CN"/>
        </w:rPr>
      </w:pPr>
      <w:r w:rsidRPr="00B066E0">
        <w:rPr>
          <w:szCs w:val="22"/>
          <w:lang w:eastAsia="zh-CN"/>
        </w:rPr>
        <w:t xml:space="preserve">In this contribution, we discussed </w:t>
      </w:r>
      <w:r>
        <w:t xml:space="preserve">aspects related to the normative work necessary to provide support to </w:t>
      </w:r>
      <w:r w:rsidR="004B7E5F">
        <w:t>mu</w:t>
      </w:r>
      <w:r w:rsidR="00FA4415">
        <w:t>lti</w:t>
      </w:r>
      <w:r w:rsidR="004B7E5F">
        <w:t xml:space="preserve">-slot TB processing and transmission </w:t>
      </w:r>
      <w:r>
        <w:t xml:space="preserve">in Rel-17. </w:t>
      </w:r>
      <w:r w:rsidRPr="00B066E0">
        <w:rPr>
          <w:szCs w:val="22"/>
          <w:lang w:eastAsia="zh-CN"/>
        </w:rPr>
        <w:t>The following observations have been made:</w:t>
      </w:r>
    </w:p>
    <w:p w14:paraId="6AA7F290" w14:textId="77777777" w:rsidR="0002702A" w:rsidRPr="0002702A" w:rsidRDefault="0002702A">
      <w:pPr>
        <w:pStyle w:val="TableofFigures"/>
        <w:tabs>
          <w:tab w:val="right" w:leader="dot" w:pos="9629"/>
        </w:tabs>
        <w:rPr>
          <w:rFonts w:ascii="Times New Roman" w:eastAsiaTheme="minorEastAsia" w:hAnsi="Times New Roman"/>
          <w:b/>
          <w:bCs/>
          <w:i w:val="0"/>
          <w:iCs w:val="0"/>
          <w:noProof/>
          <w:sz w:val="22"/>
          <w:szCs w:val="22"/>
          <w:lang w:val="fr-FR" w:eastAsia="fr-FR"/>
        </w:rPr>
      </w:pPr>
      <w:r w:rsidRPr="00CA4D6F">
        <w:rPr>
          <w:rFonts w:ascii="Times New Roman" w:hAnsi="Times New Roman"/>
          <w:b/>
          <w:bCs/>
          <w:i w:val="0"/>
          <w:iCs w:val="0"/>
          <w:sz w:val="22"/>
          <w:szCs w:val="22"/>
          <w:lang w:val="en-US" w:eastAsia="zh-CN"/>
        </w:rPr>
        <w:fldChar w:fldCharType="begin"/>
      </w:r>
      <w:r w:rsidRPr="00CA4D6F">
        <w:rPr>
          <w:rFonts w:ascii="Times New Roman" w:hAnsi="Times New Roman"/>
          <w:b/>
          <w:bCs/>
          <w:i w:val="0"/>
          <w:iCs w:val="0"/>
          <w:sz w:val="22"/>
          <w:szCs w:val="22"/>
          <w:lang w:val="en-US" w:eastAsia="zh-CN"/>
        </w:rPr>
        <w:instrText xml:space="preserve"> TOC \n \h \z \c "Observation" </w:instrText>
      </w:r>
      <w:r w:rsidRPr="00CA4D6F">
        <w:rPr>
          <w:rFonts w:ascii="Times New Roman" w:hAnsi="Times New Roman"/>
          <w:b/>
          <w:bCs/>
          <w:i w:val="0"/>
          <w:iCs w:val="0"/>
          <w:sz w:val="22"/>
          <w:szCs w:val="22"/>
          <w:lang w:val="en-US" w:eastAsia="zh-CN"/>
        </w:rPr>
        <w:fldChar w:fldCharType="separate"/>
      </w:r>
      <w:hyperlink w:anchor="_Toc61879091" w:history="1">
        <w:r w:rsidRPr="0002702A">
          <w:rPr>
            <w:rStyle w:val="Hyperlink"/>
            <w:rFonts w:ascii="Times New Roman" w:hAnsi="Times New Roman"/>
            <w:b/>
            <w:bCs/>
            <w:noProof/>
            <w:sz w:val="22"/>
            <w:szCs w:val="22"/>
          </w:rPr>
          <w:t>Observation 1. Since the length of multi-slot TB varies and can be greater than one slot, a single value of xOverhead that is semi-statically configured cannot be used for different possible lengths of multi-slot TB.</w:t>
        </w:r>
      </w:hyperlink>
    </w:p>
    <w:p w14:paraId="78C3839C" w14:textId="48116989" w:rsidR="0002702A" w:rsidRPr="00CA4D6F" w:rsidRDefault="0002702A" w:rsidP="0002702A">
      <w:pPr>
        <w:spacing w:before="240" w:after="240" w:line="259" w:lineRule="auto"/>
        <w:rPr>
          <w:b/>
          <w:bCs/>
          <w:szCs w:val="22"/>
          <w:lang w:eastAsia="zh-CN"/>
        </w:rPr>
      </w:pPr>
      <w:r w:rsidRPr="00CA4D6F">
        <w:rPr>
          <w:b/>
          <w:bCs/>
          <w:szCs w:val="22"/>
          <w:lang w:eastAsia="zh-CN"/>
        </w:rPr>
        <w:fldChar w:fldCharType="end"/>
      </w:r>
      <w:r w:rsidRPr="00B066E0">
        <w:rPr>
          <w:szCs w:val="24"/>
          <w:lang w:eastAsia="zh-CN"/>
        </w:rPr>
        <w:t>In addition, the following proposals have been made:</w:t>
      </w:r>
    </w:p>
    <w:p w14:paraId="5B4FA98C" w14:textId="75C74168" w:rsidR="00A82B51" w:rsidRDefault="0002702A" w:rsidP="00A82B51">
      <w:pPr>
        <w:pStyle w:val="TableofFigures"/>
        <w:tabs>
          <w:tab w:val="right" w:leader="dot" w:pos="9629"/>
        </w:tabs>
        <w:spacing w:after="120"/>
        <w:rPr>
          <w:rStyle w:val="Hyperlink"/>
          <w:rFonts w:ascii="Times New Roman" w:hAnsi="Times New Roman"/>
          <w:b/>
          <w:bCs/>
          <w:noProof/>
          <w:sz w:val="22"/>
          <w:szCs w:val="22"/>
        </w:rPr>
      </w:pPr>
      <w:r w:rsidRPr="00CA4D6F">
        <w:rPr>
          <w:rFonts w:ascii="Times New Roman" w:hAnsi="Times New Roman"/>
          <w:b/>
          <w:bCs/>
          <w:i w:val="0"/>
          <w:iCs w:val="0"/>
          <w:sz w:val="22"/>
          <w:szCs w:val="22"/>
          <w:lang w:val="en-US" w:eastAsia="zh-CN"/>
        </w:rPr>
        <w:lastRenderedPageBreak/>
        <w:fldChar w:fldCharType="begin"/>
      </w:r>
      <w:r w:rsidRPr="00CA4D6F">
        <w:rPr>
          <w:rFonts w:ascii="Times New Roman" w:hAnsi="Times New Roman"/>
          <w:b/>
          <w:bCs/>
          <w:i w:val="0"/>
          <w:iCs w:val="0"/>
          <w:sz w:val="22"/>
          <w:szCs w:val="22"/>
          <w:lang w:val="en-US" w:eastAsia="zh-CN"/>
        </w:rPr>
        <w:instrText xml:space="preserve"> TOC \n \h \z \c "Proposal" </w:instrText>
      </w:r>
      <w:r w:rsidRPr="00CA4D6F">
        <w:rPr>
          <w:rFonts w:ascii="Times New Roman" w:hAnsi="Times New Roman"/>
          <w:b/>
          <w:bCs/>
          <w:i w:val="0"/>
          <w:iCs w:val="0"/>
          <w:sz w:val="22"/>
          <w:szCs w:val="22"/>
          <w:lang w:val="en-US" w:eastAsia="zh-CN"/>
        </w:rPr>
        <w:fldChar w:fldCharType="separate"/>
      </w:r>
      <w:hyperlink w:anchor="_Toc61879949" w:history="1">
        <w:r w:rsidR="00A82B51" w:rsidRPr="00A82B51">
          <w:rPr>
            <w:rStyle w:val="Hyperlink"/>
            <w:rFonts w:ascii="Times New Roman" w:hAnsi="Times New Roman"/>
            <w:b/>
            <w:bCs/>
            <w:noProof/>
            <w:sz w:val="22"/>
            <w:szCs w:val="22"/>
          </w:rPr>
          <w:t>Proposal 1. For multi-slot TB transmission, RAN1 to down-select the following time-domain resource indication/determination options:</w:t>
        </w:r>
      </w:hyperlink>
    </w:p>
    <w:p w14:paraId="3B9058A1" w14:textId="77777777" w:rsidR="00A82B51" w:rsidRPr="00A82B51" w:rsidRDefault="00A82B51" w:rsidP="00A82B51">
      <w:pPr>
        <w:pStyle w:val="ListParagraph"/>
        <w:numPr>
          <w:ilvl w:val="0"/>
          <w:numId w:val="40"/>
        </w:numPr>
        <w:spacing w:after="120"/>
        <w:jc w:val="both"/>
        <w:rPr>
          <w:b/>
          <w:bCs/>
          <w:i/>
          <w:iCs/>
          <w:szCs w:val="22"/>
          <w:lang w:val="en-US"/>
        </w:rPr>
      </w:pPr>
      <w:r w:rsidRPr="00A82B51">
        <w:rPr>
          <w:b/>
          <w:bCs/>
          <w:i/>
          <w:iCs/>
          <w:szCs w:val="22"/>
          <w:lang w:val="en-US"/>
        </w:rPr>
        <w:t xml:space="preserve">Option 1: Define a time-domain window wherein all valid PUSCH symbols are used for multi-slot TB transmission. </w:t>
      </w:r>
    </w:p>
    <w:p w14:paraId="2BA4F746" w14:textId="77777777" w:rsidR="00A82B51" w:rsidRPr="00A82B51" w:rsidRDefault="00A82B51" w:rsidP="00A82B51">
      <w:pPr>
        <w:pStyle w:val="ListParagraph"/>
        <w:numPr>
          <w:ilvl w:val="1"/>
          <w:numId w:val="40"/>
        </w:numPr>
        <w:spacing w:after="120"/>
        <w:jc w:val="both"/>
        <w:rPr>
          <w:b/>
          <w:bCs/>
          <w:i/>
          <w:iCs/>
          <w:szCs w:val="22"/>
          <w:lang w:val="en-US"/>
        </w:rPr>
      </w:pPr>
      <w:r w:rsidRPr="00A82B51">
        <w:rPr>
          <w:b/>
          <w:bCs/>
          <w:i/>
          <w:iCs/>
          <w:szCs w:val="22"/>
          <w:lang w:val="en-US"/>
        </w:rPr>
        <w:t>FFS details of window indication.</w:t>
      </w:r>
    </w:p>
    <w:p w14:paraId="72AF09A6" w14:textId="5D2F78C7" w:rsidR="00A82B51" w:rsidRPr="00A82B51" w:rsidRDefault="00A82B51" w:rsidP="00A82B51">
      <w:pPr>
        <w:pStyle w:val="ListParagraph"/>
        <w:numPr>
          <w:ilvl w:val="0"/>
          <w:numId w:val="40"/>
        </w:numPr>
        <w:rPr>
          <w:b/>
          <w:bCs/>
          <w:i/>
          <w:iCs/>
          <w:lang w:val="en-US"/>
        </w:rPr>
      </w:pPr>
      <w:r w:rsidRPr="00A82B51">
        <w:rPr>
          <w:b/>
          <w:bCs/>
          <w:i/>
          <w:iCs/>
          <w:lang w:val="en-US"/>
        </w:rPr>
        <w:t xml:space="preserve">Option 2: Define a new PUSCH mapping type that allows L and S+L &gt; 14; </w:t>
      </w:r>
      <m:oMath>
        <m:r>
          <m:rPr>
            <m:sty m:val="p"/>
          </m:rPr>
          <w:rPr>
            <w:rFonts w:ascii="Cambria Math" w:hAnsi="Cambria Math"/>
            <w:szCs w:val="22"/>
            <w:vertAlign w:val="subscript"/>
            <w:lang w:val="en-US"/>
          </w:rPr>
          <m:t>L</m:t>
        </m:r>
      </m:oMath>
      <w:r w:rsidRPr="00A82B51">
        <w:rPr>
          <w:b/>
          <w:bCs/>
          <w:i/>
          <w:iCs/>
          <w:szCs w:val="22"/>
          <w:lang w:val="en-US"/>
        </w:rPr>
        <w:t xml:space="preserve"> valid symbols starting from the symbol with index </w:t>
      </w:r>
      <m:oMath>
        <m:r>
          <m:rPr>
            <m:sty m:val="p"/>
          </m:rPr>
          <w:rPr>
            <w:rFonts w:ascii="Cambria Math" w:hAnsi="Cambria Math"/>
            <w:szCs w:val="22"/>
            <w:lang w:val="en-US"/>
          </w:rPr>
          <m:t>S</m:t>
        </m:r>
      </m:oMath>
      <w:r w:rsidRPr="00A82B51">
        <w:rPr>
          <w:b/>
          <w:bCs/>
          <w:i/>
          <w:iCs/>
          <w:szCs w:val="22"/>
          <w:lang w:val="en-US"/>
        </w:rPr>
        <w:t xml:space="preserve"> in the slot indicated by K2 are used for multi-slot TB transmission.</w:t>
      </w:r>
    </w:p>
    <w:p w14:paraId="78252A97" w14:textId="3D0D323B" w:rsidR="00A82B51" w:rsidRPr="00A82B51" w:rsidRDefault="00A82B51" w:rsidP="00A82B51">
      <w:pPr>
        <w:pStyle w:val="ListParagraph"/>
        <w:numPr>
          <w:ilvl w:val="0"/>
          <w:numId w:val="40"/>
        </w:numPr>
        <w:spacing w:after="120"/>
        <w:ind w:left="714" w:hanging="357"/>
        <w:rPr>
          <w:b/>
          <w:bCs/>
          <w:i/>
          <w:iCs/>
          <w:szCs w:val="22"/>
          <w:lang w:val="en-US"/>
        </w:rPr>
      </w:pPr>
      <w:r w:rsidRPr="00A82B51">
        <w:rPr>
          <w:b/>
          <w:bCs/>
          <w:i/>
          <w:iCs/>
          <w:szCs w:val="22"/>
          <w:lang w:val="en-US"/>
        </w:rPr>
        <w:t>Option 3: Reuse the time-domain allocation from PUSCH repetition type B.</w:t>
      </w:r>
    </w:p>
    <w:p w14:paraId="1A28453D" w14:textId="0D572421" w:rsidR="00A82B51" w:rsidRDefault="00860FB1" w:rsidP="00A82B51">
      <w:pPr>
        <w:pStyle w:val="TableofFigures"/>
        <w:tabs>
          <w:tab w:val="right" w:leader="dot" w:pos="9629"/>
        </w:tabs>
        <w:spacing w:after="120"/>
        <w:rPr>
          <w:rStyle w:val="Hyperlink"/>
          <w:rFonts w:ascii="Times New Roman" w:hAnsi="Times New Roman"/>
          <w:b/>
          <w:bCs/>
          <w:noProof/>
          <w:sz w:val="22"/>
          <w:szCs w:val="22"/>
        </w:rPr>
      </w:pPr>
      <w:hyperlink w:anchor="_Toc61879950" w:history="1">
        <w:r w:rsidR="00A82B51" w:rsidRPr="00A82B51">
          <w:rPr>
            <w:rStyle w:val="Hyperlink"/>
            <w:rFonts w:ascii="Times New Roman" w:hAnsi="Times New Roman"/>
            <w:b/>
            <w:bCs/>
            <w:noProof/>
            <w:sz w:val="22"/>
            <w:szCs w:val="22"/>
          </w:rPr>
          <w:t xml:space="preserve">Proposal 2. For multi-slot TBS determination, the UE determines the overhead for </w:t>
        </w:r>
        <m:oMath>
          <m:sSubSup>
            <m:sSubSupPr>
              <m:ctrlPr>
                <w:rPr>
                  <w:rFonts w:ascii="Cambria Math" w:hAnsi="Cambria Math"/>
                  <w:b/>
                  <w:bCs/>
                  <w:lang w:val="en-US" w:eastAsia="ko-KR"/>
                </w:rPr>
              </m:ctrlPr>
            </m:sSubSupPr>
            <m:e>
              <m:r>
                <m:rPr>
                  <m:sty m:val="bi"/>
                </m:rPr>
                <w:rPr>
                  <w:rFonts w:ascii="Cambria Math"/>
                  <w:lang w:val="en-US" w:eastAsia="ko-KR"/>
                </w:rPr>
                <m:t>N</m:t>
              </m:r>
            </m:e>
            <m:sub>
              <m:r>
                <m:rPr>
                  <m:sty m:val="bi"/>
                </m:rPr>
                <w:rPr>
                  <w:rFonts w:ascii="Cambria Math"/>
                  <w:lang w:val="en-US" w:eastAsia="ko-KR"/>
                </w:rPr>
                <m:t>RE</m:t>
              </m:r>
            </m:sub>
            <m:sup>
              <m:r>
                <m:rPr>
                  <m:sty m:val="bi"/>
                </m:rPr>
                <w:rPr>
                  <w:rFonts w:ascii="Cambria Math"/>
                  <w:lang w:val="en-US" w:eastAsia="ko-KR"/>
                </w:rPr>
                <m:t>'</m:t>
              </m:r>
            </m:sup>
          </m:sSubSup>
        </m:oMath>
        <w:r w:rsidR="00A82B51" w:rsidRPr="00F82838">
          <w:rPr>
            <w:b/>
            <w:bCs/>
            <w:szCs w:val="22"/>
            <w:lang w:val="en-US"/>
          </w:rPr>
          <w:t xml:space="preserve"> </w:t>
        </w:r>
        <w:r w:rsidR="00A82B51" w:rsidRPr="00A82B51">
          <w:rPr>
            <w:rStyle w:val="Hyperlink"/>
            <w:rFonts w:ascii="Times New Roman" w:hAnsi="Times New Roman"/>
            <w:b/>
            <w:bCs/>
            <w:noProof/>
            <w:sz w:val="22"/>
            <w:szCs w:val="22"/>
          </w:rPr>
          <w:t xml:space="preserve">calculation depending on both xOverhead and </w:t>
        </w:r>
        <w:r w:rsidR="00A82B51" w:rsidRPr="00A82B51">
          <w:rPr>
            <w:rStyle w:val="Hyperlink"/>
            <w:rFonts w:ascii="Times New Roman" w:hAnsi="Times New Roman"/>
            <w:b/>
            <w:bCs/>
            <w:noProof/>
            <w:sz w:val="22"/>
            <w:szCs w:val="22"/>
            <w:lang w:eastAsia="ko-KR"/>
          </w:rPr>
          <w:t>the resources allocated for multi-slot TB transmission, expressed in number of actual PUSCH symbols/slots.</w:t>
        </w:r>
      </w:hyperlink>
    </w:p>
    <w:p w14:paraId="1D305555" w14:textId="6D4E740E" w:rsidR="00A82B51" w:rsidRPr="00A82B51" w:rsidRDefault="00A82B51" w:rsidP="00A82B51">
      <w:pPr>
        <w:pStyle w:val="Caption"/>
        <w:numPr>
          <w:ilvl w:val="0"/>
          <w:numId w:val="45"/>
        </w:numPr>
        <w:jc w:val="both"/>
        <w:rPr>
          <w:bCs/>
          <w:i/>
          <w:iCs/>
          <w:lang w:eastAsia="ko-KR"/>
        </w:rPr>
      </w:pPr>
      <w:r w:rsidRPr="00A82B51">
        <w:rPr>
          <w:bCs/>
          <w:i/>
          <w:iCs/>
          <w:lang w:eastAsia="ko-KR"/>
        </w:rPr>
        <w:t>FFS: if the overhead is calculated by scaling the single slot xOverhead w.r.t. the resources allocated for multi-slot TB transmission or by configuring different values of xOverhead for different number of actual PUSCH symbols/slots.</w:t>
      </w:r>
    </w:p>
    <w:p w14:paraId="15F505C9" w14:textId="3BDE0969" w:rsidR="00A82B51" w:rsidRDefault="00860FB1" w:rsidP="00A82B51">
      <w:pPr>
        <w:pStyle w:val="TableofFigures"/>
        <w:tabs>
          <w:tab w:val="right" w:leader="dot" w:pos="9629"/>
        </w:tabs>
        <w:spacing w:after="120"/>
        <w:rPr>
          <w:rStyle w:val="Hyperlink"/>
          <w:rFonts w:ascii="Times New Roman" w:hAnsi="Times New Roman"/>
          <w:b/>
          <w:bCs/>
          <w:noProof/>
          <w:sz w:val="22"/>
          <w:szCs w:val="22"/>
        </w:rPr>
      </w:pPr>
      <w:hyperlink w:anchor="_Toc61879951" w:history="1">
        <w:r w:rsidR="00A82B51" w:rsidRPr="00A82B51">
          <w:rPr>
            <w:rStyle w:val="Hyperlink"/>
            <w:rFonts w:ascii="Times New Roman" w:hAnsi="Times New Roman"/>
            <w:b/>
            <w:bCs/>
            <w:noProof/>
            <w:sz w:val="22"/>
            <w:szCs w:val="22"/>
          </w:rPr>
          <w:t xml:space="preserve">Proposal 3. </w:t>
        </w:r>
        <w:r w:rsidR="00A82B51" w:rsidRPr="00A82B51">
          <w:rPr>
            <w:rStyle w:val="Hyperlink"/>
            <w:rFonts w:ascii="Times New Roman" w:hAnsi="Times New Roman"/>
            <w:b/>
            <w:bCs/>
            <w:noProof/>
            <w:sz w:val="22"/>
            <w:szCs w:val="22"/>
            <w:lang w:val="en-US"/>
          </w:rPr>
          <w:t xml:space="preserve">For multi-slot TBS determination, the UE determines the reference number for </w:t>
        </w:r>
        <m:oMath>
          <m:sSub>
            <m:sSubPr>
              <m:ctrlPr>
                <w:rPr>
                  <w:rFonts w:ascii="Cambria Math" w:hAnsi="Cambria Math"/>
                  <w:b/>
                  <w:bCs/>
                  <w:szCs w:val="22"/>
                  <w:lang w:val="en-US"/>
                </w:rPr>
              </m:ctrlPr>
            </m:sSubPr>
            <m:e>
              <m:r>
                <m:rPr>
                  <m:sty m:val="bi"/>
                </m:rPr>
                <w:rPr>
                  <w:rFonts w:ascii="Cambria Math" w:hAnsi="Cambria Math"/>
                  <w:szCs w:val="22"/>
                  <w:lang w:val="en-US"/>
                </w:rPr>
                <m:t>N</m:t>
              </m:r>
            </m:e>
            <m:sub>
              <m:r>
                <m:rPr>
                  <m:sty m:val="bi"/>
                </m:rPr>
                <w:rPr>
                  <w:rFonts w:ascii="Cambria Math" w:hAnsi="Cambria Math"/>
                  <w:szCs w:val="22"/>
                  <w:lang w:val="en-US"/>
                </w:rPr>
                <m:t>RE</m:t>
              </m:r>
            </m:sub>
          </m:sSub>
        </m:oMath>
        <w:r w:rsidR="00A82B51" w:rsidRPr="00A82B51">
          <w:rPr>
            <w:rStyle w:val="Hyperlink"/>
            <w:rFonts w:ascii="Times New Roman" w:hAnsi="Times New Roman"/>
            <w:b/>
            <w:bCs/>
            <w:noProof/>
            <w:sz w:val="22"/>
            <w:szCs w:val="22"/>
            <w:lang w:val="en-US"/>
          </w:rPr>
          <w:t xml:space="preserve"> calculation </w:t>
        </w:r>
        <w:r w:rsidR="00A82B51" w:rsidRPr="00A82B51">
          <w:rPr>
            <w:rStyle w:val="Hyperlink"/>
            <w:rFonts w:ascii="Times New Roman" w:hAnsi="Times New Roman"/>
            <w:b/>
            <w:bCs/>
            <w:noProof/>
            <w:sz w:val="22"/>
            <w:szCs w:val="22"/>
          </w:rPr>
          <w:t xml:space="preserve">depending on both xOverhead and </w:t>
        </w:r>
        <w:r w:rsidR="00A82B51" w:rsidRPr="00A82B51">
          <w:rPr>
            <w:rStyle w:val="Hyperlink"/>
            <w:rFonts w:ascii="Times New Roman" w:hAnsi="Times New Roman"/>
            <w:b/>
            <w:bCs/>
            <w:noProof/>
            <w:sz w:val="22"/>
            <w:szCs w:val="22"/>
            <w:lang w:val="en-US" w:eastAsia="ko-KR"/>
          </w:rPr>
          <w:t xml:space="preserve">the </w:t>
        </w:r>
        <w:r w:rsidR="00A82B51" w:rsidRPr="00A82B51">
          <w:rPr>
            <w:rStyle w:val="Hyperlink"/>
            <w:rFonts w:ascii="Times New Roman" w:hAnsi="Times New Roman"/>
            <w:b/>
            <w:bCs/>
            <w:noProof/>
            <w:sz w:val="22"/>
            <w:szCs w:val="22"/>
            <w:lang w:eastAsia="ko-KR"/>
          </w:rPr>
          <w:t xml:space="preserve">resources allocated for multi-slot TB transmission, expressed in </w:t>
        </w:r>
        <w:r w:rsidR="00A82B51" w:rsidRPr="00A82B51">
          <w:rPr>
            <w:rStyle w:val="Hyperlink"/>
            <w:rFonts w:ascii="Times New Roman" w:hAnsi="Times New Roman"/>
            <w:b/>
            <w:bCs/>
            <w:noProof/>
            <w:sz w:val="22"/>
            <w:szCs w:val="22"/>
            <w:lang w:val="en-US" w:eastAsia="ko-KR"/>
          </w:rPr>
          <w:t>number of actual PUSCH symbols/slots</w:t>
        </w:r>
        <w:r w:rsidR="00A82B51" w:rsidRPr="00A82B51">
          <w:rPr>
            <w:rStyle w:val="Hyperlink"/>
            <w:rFonts w:ascii="Times New Roman" w:hAnsi="Times New Roman"/>
            <w:b/>
            <w:bCs/>
            <w:noProof/>
            <w:sz w:val="22"/>
            <w:szCs w:val="22"/>
            <w:lang w:eastAsia="ko-KR"/>
          </w:rPr>
          <w:t>.</w:t>
        </w:r>
      </w:hyperlink>
    </w:p>
    <w:p w14:paraId="64A5381E" w14:textId="57FEEE97" w:rsidR="00A82B51" w:rsidRPr="00A82B51" w:rsidRDefault="00A82B51" w:rsidP="00A82B51">
      <w:pPr>
        <w:pStyle w:val="Caption"/>
        <w:numPr>
          <w:ilvl w:val="0"/>
          <w:numId w:val="45"/>
        </w:numPr>
        <w:jc w:val="both"/>
        <w:rPr>
          <w:bCs/>
          <w:i/>
          <w:iCs/>
          <w:lang w:eastAsia="ko-KR"/>
        </w:rPr>
      </w:pPr>
      <w:r w:rsidRPr="00A82B51">
        <w:rPr>
          <w:bCs/>
          <w:i/>
          <w:iCs/>
          <w:lang w:eastAsia="ko-KR"/>
        </w:rPr>
        <w:t xml:space="preserve">FFS: how different multi-slot parameters and configurations are used to determine the </w:t>
      </w:r>
      <w:r w:rsidRPr="00A82B51">
        <w:rPr>
          <w:i/>
          <w:iCs/>
          <w:szCs w:val="22"/>
        </w:rPr>
        <w:t>reference number</w:t>
      </w:r>
      <w:r w:rsidRPr="00A82B51">
        <w:rPr>
          <w:bCs/>
          <w:i/>
          <w:iCs/>
          <w:lang w:eastAsia="ko-KR"/>
        </w:rPr>
        <w:t xml:space="preserve"> for</w:t>
      </w:r>
      <w:r w:rsidRPr="00A82B51">
        <w:rPr>
          <w:bCs/>
          <w:i/>
          <w:iCs/>
          <w:szCs w:val="22"/>
        </w:rPr>
        <w:t xml:space="preserve"> </w:t>
      </w:r>
      <m:oMath>
        <m:sSub>
          <m:sSubPr>
            <m:ctrlPr>
              <w:rPr>
                <w:rFonts w:ascii="Cambria Math" w:hAnsi="Cambria Math"/>
                <w:bCs/>
                <w:i/>
                <w:iCs/>
                <w:szCs w:val="22"/>
              </w:rPr>
            </m:ctrlPr>
          </m:sSubPr>
          <m:e>
            <m:r>
              <m:rPr>
                <m:sty m:val="b"/>
              </m:rPr>
              <w:rPr>
                <w:rFonts w:ascii="Cambria Math" w:hAnsi="Cambria Math"/>
                <w:szCs w:val="22"/>
              </w:rPr>
              <m:t>N</m:t>
            </m:r>
          </m:e>
          <m:sub>
            <m:r>
              <m:rPr>
                <m:sty m:val="b"/>
              </m:rPr>
              <w:rPr>
                <w:rFonts w:ascii="Cambria Math" w:hAnsi="Cambria Math"/>
                <w:szCs w:val="22"/>
              </w:rPr>
              <m:t>RE</m:t>
            </m:r>
          </m:sub>
        </m:sSub>
      </m:oMath>
      <w:r w:rsidRPr="00A82B51">
        <w:rPr>
          <w:bCs/>
          <w:i/>
          <w:iCs/>
          <w:szCs w:val="22"/>
        </w:rPr>
        <w:t xml:space="preserve"> calculation </w:t>
      </w:r>
      <w:r w:rsidRPr="00A82B51">
        <w:rPr>
          <w:bCs/>
          <w:i/>
          <w:iCs/>
          <w:lang w:eastAsia="ko-KR"/>
        </w:rPr>
        <w:t>in case of multi-slot TB transmission.</w:t>
      </w:r>
    </w:p>
    <w:p w14:paraId="73EBB493" w14:textId="559BD9AC" w:rsidR="00A82B51" w:rsidRDefault="00860FB1" w:rsidP="00A82B51">
      <w:pPr>
        <w:pStyle w:val="TableofFigures"/>
        <w:tabs>
          <w:tab w:val="right" w:leader="dot" w:pos="9629"/>
        </w:tabs>
        <w:spacing w:after="120"/>
        <w:rPr>
          <w:rStyle w:val="Hyperlink"/>
          <w:rFonts w:ascii="Times New Roman" w:hAnsi="Times New Roman"/>
          <w:b/>
          <w:bCs/>
          <w:noProof/>
          <w:sz w:val="22"/>
          <w:szCs w:val="22"/>
        </w:rPr>
      </w:pPr>
      <w:hyperlink w:anchor="_Toc61879952" w:history="1">
        <w:r w:rsidR="00A82B51" w:rsidRPr="00A82B51">
          <w:rPr>
            <w:rStyle w:val="Hyperlink"/>
            <w:rFonts w:ascii="Times New Roman" w:hAnsi="Times New Roman"/>
            <w:b/>
            <w:bCs/>
            <w:noProof/>
            <w:sz w:val="22"/>
            <w:szCs w:val="22"/>
          </w:rPr>
          <w:t>Proposal 4. RAN1 to specify an indication method for enabling multi-slot TB transmission per PUSCH scheduling/configuration.</w:t>
        </w:r>
      </w:hyperlink>
    </w:p>
    <w:p w14:paraId="603A70EB" w14:textId="77777777" w:rsidR="00A82B51" w:rsidRPr="00A82B51" w:rsidRDefault="00A82B51" w:rsidP="00A82B51">
      <w:pPr>
        <w:pStyle w:val="ListParagraph"/>
        <w:numPr>
          <w:ilvl w:val="0"/>
          <w:numId w:val="34"/>
        </w:numPr>
        <w:jc w:val="both"/>
        <w:rPr>
          <w:b/>
          <w:bCs/>
          <w:i/>
          <w:iCs/>
          <w:szCs w:val="22"/>
          <w:lang w:val="en-US"/>
        </w:rPr>
      </w:pPr>
      <w:r w:rsidRPr="00A82B51">
        <w:rPr>
          <w:b/>
          <w:bCs/>
          <w:i/>
          <w:iCs/>
          <w:szCs w:val="22"/>
          <w:lang w:val="en-US"/>
        </w:rPr>
        <w:t>FFS: Details of the indication method, including introducing a new field or reusing the available field in the scheduling DCI (or RRC parameter in case of configured grant configuration), e.g. some rows in the TDRA table are used to configure for multi-slot TB transmission.</w:t>
      </w:r>
    </w:p>
    <w:p w14:paraId="56FA6D28" w14:textId="77777777" w:rsidR="00A82B51" w:rsidRPr="00A82B51" w:rsidRDefault="00A82B51" w:rsidP="00A82B51"/>
    <w:p w14:paraId="53CD9119" w14:textId="347B7353" w:rsidR="00885580" w:rsidRPr="002B6050" w:rsidRDefault="0002702A" w:rsidP="0002702A">
      <w:pPr>
        <w:pStyle w:val="Heading1"/>
        <w:numPr>
          <w:ilvl w:val="0"/>
          <w:numId w:val="0"/>
        </w:numPr>
        <w:rPr>
          <w:lang w:val="en-US"/>
        </w:rPr>
      </w:pPr>
      <w:r w:rsidRPr="00CA4D6F">
        <w:rPr>
          <w:b/>
          <w:bCs/>
          <w:szCs w:val="22"/>
          <w:lang w:eastAsia="zh-CN"/>
        </w:rPr>
        <w:fldChar w:fldCharType="end"/>
      </w:r>
      <w:r w:rsidR="00885580" w:rsidRPr="002B6050">
        <w:rPr>
          <w:lang w:val="en-US"/>
        </w:rPr>
        <w:t>References</w:t>
      </w:r>
    </w:p>
    <w:p w14:paraId="6B1FAFBA" w14:textId="77777777" w:rsidR="0002702A" w:rsidRDefault="0002702A" w:rsidP="0002702A">
      <w:pPr>
        <w:pStyle w:val="ListParagraph"/>
        <w:numPr>
          <w:ilvl w:val="0"/>
          <w:numId w:val="27"/>
        </w:numPr>
        <w:spacing w:after="180"/>
        <w:ind w:left="357" w:hanging="357"/>
        <w:rPr>
          <w:szCs w:val="22"/>
          <w:lang w:val="en-US"/>
        </w:rPr>
      </w:pPr>
      <w:bookmarkStart w:id="14" w:name="_Ref61377968"/>
      <w:r w:rsidRPr="00AA6D51">
        <w:rPr>
          <w:szCs w:val="22"/>
          <w:lang w:val="en-US"/>
        </w:rPr>
        <w:t>R</w:t>
      </w:r>
      <w:bookmarkEnd w:id="14"/>
      <w:r w:rsidRPr="00AA6D51">
        <w:rPr>
          <w:szCs w:val="22"/>
          <w:lang w:val="en-US"/>
        </w:rPr>
        <w:t>P-202928</w:t>
      </w:r>
      <w:r w:rsidRPr="00AA6D51">
        <w:rPr>
          <w:szCs w:val="22"/>
          <w:lang w:val="en-US"/>
        </w:rPr>
        <w:tab/>
        <w:t>New WID on NR coverage enhancements, China Telecom (moderator), December 2020.</w:t>
      </w:r>
    </w:p>
    <w:p w14:paraId="093EE10C" w14:textId="77777777" w:rsidR="00205A4B" w:rsidRPr="0002702A" w:rsidRDefault="00205A4B" w:rsidP="0002702A">
      <w:pPr>
        <w:rPr>
          <w:sz w:val="20"/>
        </w:rPr>
      </w:pPr>
    </w:p>
    <w:p w14:paraId="48CBFBDF" w14:textId="560D1473" w:rsidR="000C5B5B" w:rsidRPr="002B6050" w:rsidRDefault="000C5B5B" w:rsidP="005832EF">
      <w:pPr>
        <w:overflowPunct/>
        <w:autoSpaceDE/>
        <w:autoSpaceDN/>
        <w:adjustRightInd/>
        <w:spacing w:after="0"/>
        <w:textAlignment w:val="auto"/>
      </w:pPr>
    </w:p>
    <w:sectPr w:rsidR="000C5B5B" w:rsidRPr="002B605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AEA92" w14:textId="77777777" w:rsidR="00BB7AA5" w:rsidRDefault="00BB7AA5">
      <w:r>
        <w:separator/>
      </w:r>
    </w:p>
  </w:endnote>
  <w:endnote w:type="continuationSeparator" w:id="0">
    <w:p w14:paraId="75B02A6A" w14:textId="77777777" w:rsidR="00BB7AA5" w:rsidRDefault="00BB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2480" w14:textId="77777777" w:rsidR="00BB7AA5" w:rsidRDefault="00BB7AA5">
      <w:r>
        <w:separator/>
      </w:r>
    </w:p>
  </w:footnote>
  <w:footnote w:type="continuationSeparator" w:id="0">
    <w:p w14:paraId="2A7AFFFB" w14:textId="77777777" w:rsidR="00BB7AA5" w:rsidRDefault="00BB7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E096C"/>
    <w:multiLevelType w:val="hybridMultilevel"/>
    <w:tmpl w:val="3042C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894501"/>
    <w:multiLevelType w:val="hybridMultilevel"/>
    <w:tmpl w:val="D992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F6433"/>
    <w:multiLevelType w:val="hybridMultilevel"/>
    <w:tmpl w:val="ABA8D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052F6"/>
    <w:multiLevelType w:val="hybridMultilevel"/>
    <w:tmpl w:val="D8140B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CA901A3"/>
    <w:multiLevelType w:val="hybridMultilevel"/>
    <w:tmpl w:val="F000D98E"/>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A1CE8"/>
    <w:multiLevelType w:val="hybridMultilevel"/>
    <w:tmpl w:val="47F28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0573D"/>
    <w:multiLevelType w:val="hybridMultilevel"/>
    <w:tmpl w:val="0D4C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547A55"/>
    <w:multiLevelType w:val="hybridMultilevel"/>
    <w:tmpl w:val="BE64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09278A"/>
    <w:multiLevelType w:val="hybridMultilevel"/>
    <w:tmpl w:val="224E7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A1E65"/>
    <w:multiLevelType w:val="hybridMultilevel"/>
    <w:tmpl w:val="0A4A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D45077"/>
    <w:multiLevelType w:val="hybridMultilevel"/>
    <w:tmpl w:val="45CC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33265"/>
    <w:multiLevelType w:val="multilevel"/>
    <w:tmpl w:val="0DD03088"/>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4" w15:restartNumberingAfterBreak="0">
    <w:nsid w:val="5730049A"/>
    <w:multiLevelType w:val="hybridMultilevel"/>
    <w:tmpl w:val="7CBEF794"/>
    <w:lvl w:ilvl="0" w:tplc="04090001">
      <w:start w:val="1"/>
      <w:numFmt w:val="bullet"/>
      <w:lvlText w:val=""/>
      <w:lvlJc w:val="left"/>
      <w:pPr>
        <w:ind w:left="1077" w:hanging="360"/>
      </w:pPr>
      <w:rPr>
        <w:rFonts w:ascii="Symbol" w:hAnsi="Symbol" w:hint="default"/>
      </w:rPr>
    </w:lvl>
    <w:lvl w:ilvl="1" w:tplc="04090017">
      <w:start w:val="1"/>
      <w:numFmt w:val="lowerLetter"/>
      <w:lvlText w:val="%2)"/>
      <w:lvlJc w:val="left"/>
      <w:pPr>
        <w:ind w:left="1797" w:hanging="360"/>
      </w:pPr>
      <w:rPr>
        <w:rFonts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23C6114"/>
    <w:multiLevelType w:val="hybridMultilevel"/>
    <w:tmpl w:val="1C52DB20"/>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4DDD"/>
    <w:multiLevelType w:val="hybridMultilevel"/>
    <w:tmpl w:val="C7DE37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D02FA"/>
    <w:multiLevelType w:val="hybridMultilevel"/>
    <w:tmpl w:val="EBE06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6"/>
  </w:num>
  <w:num w:numId="3">
    <w:abstractNumId w:val="0"/>
  </w:num>
  <w:num w:numId="4">
    <w:abstractNumId w:val="3"/>
  </w:num>
  <w:num w:numId="5">
    <w:abstractNumId w:val="20"/>
  </w:num>
  <w:num w:numId="6">
    <w:abstractNumId w:val="37"/>
  </w:num>
  <w:num w:numId="7">
    <w:abstractNumId w:val="23"/>
  </w:num>
  <w:num w:numId="8">
    <w:abstractNumId w:val="19"/>
  </w:num>
  <w:num w:numId="9">
    <w:abstractNumId w:val="42"/>
  </w:num>
  <w:num w:numId="10">
    <w:abstractNumId w:val="7"/>
  </w:num>
  <w:num w:numId="11">
    <w:abstractNumId w:val="26"/>
  </w:num>
  <w:num w:numId="12">
    <w:abstractNumId w:val="6"/>
  </w:num>
  <w:num w:numId="13">
    <w:abstractNumId w:val="16"/>
  </w:num>
  <w:num w:numId="14">
    <w:abstractNumId w:val="31"/>
  </w:num>
  <w:num w:numId="15">
    <w:abstractNumId w:val="21"/>
  </w:num>
  <w:num w:numId="16">
    <w:abstractNumId w:val="1"/>
  </w:num>
  <w:num w:numId="17">
    <w:abstractNumId w:val="29"/>
  </w:num>
  <w:num w:numId="18">
    <w:abstractNumId w:val="17"/>
  </w:num>
  <w:num w:numId="19">
    <w:abstractNumId w:val="24"/>
  </w:num>
  <w:num w:numId="20">
    <w:abstractNumId w:val="41"/>
  </w:num>
  <w:num w:numId="21">
    <w:abstractNumId w:val="44"/>
  </w:num>
  <w:num w:numId="22">
    <w:abstractNumId w:val="27"/>
  </w:num>
  <w:num w:numId="23">
    <w:abstractNumId w:val="15"/>
  </w:num>
  <w:num w:numId="24">
    <w:abstractNumId w:val="8"/>
  </w:num>
  <w:num w:numId="25">
    <w:abstractNumId w:val="39"/>
  </w:num>
  <w:num w:numId="26">
    <w:abstractNumId w:val="35"/>
  </w:num>
  <w:num w:numId="27">
    <w:abstractNumId w:val="11"/>
  </w:num>
  <w:num w:numId="28">
    <w:abstractNumId w:val="2"/>
  </w:num>
  <w:num w:numId="29">
    <w:abstractNumId w:val="14"/>
  </w:num>
  <w:num w:numId="30">
    <w:abstractNumId w:val="34"/>
  </w:num>
  <w:num w:numId="31">
    <w:abstractNumId w:val="32"/>
  </w:num>
  <w:num w:numId="32">
    <w:abstractNumId w:val="43"/>
  </w:num>
  <w:num w:numId="33">
    <w:abstractNumId w:val="28"/>
  </w:num>
  <w:num w:numId="34">
    <w:abstractNumId w:val="12"/>
  </w:num>
  <w:num w:numId="35">
    <w:abstractNumId w:val="30"/>
  </w:num>
  <w:num w:numId="36">
    <w:abstractNumId w:val="10"/>
  </w:num>
  <w:num w:numId="37">
    <w:abstractNumId w:val="22"/>
  </w:num>
  <w:num w:numId="38">
    <w:abstractNumId w:val="33"/>
  </w:num>
  <w:num w:numId="39">
    <w:abstractNumId w:val="38"/>
  </w:num>
  <w:num w:numId="40">
    <w:abstractNumId w:val="4"/>
  </w:num>
  <w:num w:numId="41">
    <w:abstractNumId w:val="40"/>
  </w:num>
  <w:num w:numId="42">
    <w:abstractNumId w:val="25"/>
  </w:num>
  <w:num w:numId="43">
    <w:abstractNumId w:val="5"/>
  </w:num>
  <w:num w:numId="44">
    <w:abstractNumId w:val="13"/>
  </w:num>
  <w:num w:numId="4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92"/>
    <w:rsid w:val="00003E20"/>
    <w:rsid w:val="00004AC8"/>
    <w:rsid w:val="000053BA"/>
    <w:rsid w:val="00005EEF"/>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02A"/>
    <w:rsid w:val="00027755"/>
    <w:rsid w:val="00027864"/>
    <w:rsid w:val="0002789E"/>
    <w:rsid w:val="00030048"/>
    <w:rsid w:val="0003072D"/>
    <w:rsid w:val="000314CD"/>
    <w:rsid w:val="0003332B"/>
    <w:rsid w:val="00033544"/>
    <w:rsid w:val="0003479E"/>
    <w:rsid w:val="00035691"/>
    <w:rsid w:val="0003767C"/>
    <w:rsid w:val="00040239"/>
    <w:rsid w:val="00040478"/>
    <w:rsid w:val="00040F4F"/>
    <w:rsid w:val="0004132D"/>
    <w:rsid w:val="00041C9D"/>
    <w:rsid w:val="00044CFA"/>
    <w:rsid w:val="000459C7"/>
    <w:rsid w:val="00046630"/>
    <w:rsid w:val="00046C80"/>
    <w:rsid w:val="00047B10"/>
    <w:rsid w:val="00047F6A"/>
    <w:rsid w:val="00050112"/>
    <w:rsid w:val="00050276"/>
    <w:rsid w:val="00050466"/>
    <w:rsid w:val="000505CC"/>
    <w:rsid w:val="000511F9"/>
    <w:rsid w:val="00051B32"/>
    <w:rsid w:val="00051B7B"/>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1CB6"/>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956"/>
    <w:rsid w:val="000B6D65"/>
    <w:rsid w:val="000B743C"/>
    <w:rsid w:val="000C1D59"/>
    <w:rsid w:val="000C2B09"/>
    <w:rsid w:val="000C30CF"/>
    <w:rsid w:val="000C31EE"/>
    <w:rsid w:val="000C501D"/>
    <w:rsid w:val="000C542C"/>
    <w:rsid w:val="000C5B5B"/>
    <w:rsid w:val="000C5CBA"/>
    <w:rsid w:val="000C74BA"/>
    <w:rsid w:val="000C7531"/>
    <w:rsid w:val="000C7BA7"/>
    <w:rsid w:val="000C7C3F"/>
    <w:rsid w:val="000D0BD6"/>
    <w:rsid w:val="000D0C61"/>
    <w:rsid w:val="000D1423"/>
    <w:rsid w:val="000D1440"/>
    <w:rsid w:val="000D27AD"/>
    <w:rsid w:val="000D29D1"/>
    <w:rsid w:val="000D2B0A"/>
    <w:rsid w:val="000D3286"/>
    <w:rsid w:val="000D344D"/>
    <w:rsid w:val="000D3FEF"/>
    <w:rsid w:val="000D40E7"/>
    <w:rsid w:val="000D584F"/>
    <w:rsid w:val="000D745E"/>
    <w:rsid w:val="000D76BC"/>
    <w:rsid w:val="000D7750"/>
    <w:rsid w:val="000E071E"/>
    <w:rsid w:val="000E0DEE"/>
    <w:rsid w:val="000E181D"/>
    <w:rsid w:val="000E27AA"/>
    <w:rsid w:val="000E337A"/>
    <w:rsid w:val="000E34FD"/>
    <w:rsid w:val="000E370D"/>
    <w:rsid w:val="000E4350"/>
    <w:rsid w:val="000E4376"/>
    <w:rsid w:val="000E4408"/>
    <w:rsid w:val="000E53AB"/>
    <w:rsid w:val="000E5716"/>
    <w:rsid w:val="000E589E"/>
    <w:rsid w:val="000E6337"/>
    <w:rsid w:val="000E7A79"/>
    <w:rsid w:val="000F15B2"/>
    <w:rsid w:val="000F19DE"/>
    <w:rsid w:val="000F2E1F"/>
    <w:rsid w:val="000F37B0"/>
    <w:rsid w:val="000F387E"/>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38"/>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23B"/>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69F"/>
    <w:rsid w:val="00193986"/>
    <w:rsid w:val="00193B08"/>
    <w:rsid w:val="00194570"/>
    <w:rsid w:val="00196BF4"/>
    <w:rsid w:val="001972DA"/>
    <w:rsid w:val="001976AA"/>
    <w:rsid w:val="001A02F6"/>
    <w:rsid w:val="001A15C6"/>
    <w:rsid w:val="001A5510"/>
    <w:rsid w:val="001A5C7B"/>
    <w:rsid w:val="001A5E19"/>
    <w:rsid w:val="001A63D8"/>
    <w:rsid w:val="001B01FA"/>
    <w:rsid w:val="001B06CA"/>
    <w:rsid w:val="001B0832"/>
    <w:rsid w:val="001B18A7"/>
    <w:rsid w:val="001B2762"/>
    <w:rsid w:val="001B307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A52"/>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57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6D5"/>
    <w:rsid w:val="00213709"/>
    <w:rsid w:val="002149AF"/>
    <w:rsid w:val="00214A86"/>
    <w:rsid w:val="00215AAA"/>
    <w:rsid w:val="0021683C"/>
    <w:rsid w:val="00216F5F"/>
    <w:rsid w:val="00220615"/>
    <w:rsid w:val="00221985"/>
    <w:rsid w:val="00221EC5"/>
    <w:rsid w:val="00222A7A"/>
    <w:rsid w:val="00224A2C"/>
    <w:rsid w:val="00225217"/>
    <w:rsid w:val="002256D9"/>
    <w:rsid w:val="00225EED"/>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CC"/>
    <w:rsid w:val="00236501"/>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34A"/>
    <w:rsid w:val="002568D0"/>
    <w:rsid w:val="00260AEE"/>
    <w:rsid w:val="002621A6"/>
    <w:rsid w:val="00262661"/>
    <w:rsid w:val="00262D6D"/>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06D"/>
    <w:rsid w:val="0027773D"/>
    <w:rsid w:val="002778BD"/>
    <w:rsid w:val="002815FA"/>
    <w:rsid w:val="002824C2"/>
    <w:rsid w:val="00284E32"/>
    <w:rsid w:val="002851EB"/>
    <w:rsid w:val="00285510"/>
    <w:rsid w:val="00285BD1"/>
    <w:rsid w:val="00285DE2"/>
    <w:rsid w:val="0028616D"/>
    <w:rsid w:val="00286965"/>
    <w:rsid w:val="002877F9"/>
    <w:rsid w:val="0029136E"/>
    <w:rsid w:val="00292399"/>
    <w:rsid w:val="00294445"/>
    <w:rsid w:val="00294B4D"/>
    <w:rsid w:val="0029537E"/>
    <w:rsid w:val="002960D5"/>
    <w:rsid w:val="00297926"/>
    <w:rsid w:val="002A02C9"/>
    <w:rsid w:val="002A1062"/>
    <w:rsid w:val="002A2012"/>
    <w:rsid w:val="002A2413"/>
    <w:rsid w:val="002A2F5E"/>
    <w:rsid w:val="002A352A"/>
    <w:rsid w:val="002A4641"/>
    <w:rsid w:val="002A607D"/>
    <w:rsid w:val="002A76F7"/>
    <w:rsid w:val="002B132E"/>
    <w:rsid w:val="002B1499"/>
    <w:rsid w:val="002B2813"/>
    <w:rsid w:val="002B2D29"/>
    <w:rsid w:val="002B3B31"/>
    <w:rsid w:val="002B3BBD"/>
    <w:rsid w:val="002B6050"/>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7F8"/>
    <w:rsid w:val="002F22FF"/>
    <w:rsid w:val="002F2D8F"/>
    <w:rsid w:val="002F5BE4"/>
    <w:rsid w:val="002F695B"/>
    <w:rsid w:val="002F72DA"/>
    <w:rsid w:val="002F76B1"/>
    <w:rsid w:val="002F7D66"/>
    <w:rsid w:val="002F7DBE"/>
    <w:rsid w:val="0030090B"/>
    <w:rsid w:val="00302AE8"/>
    <w:rsid w:val="00302AF7"/>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78D"/>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B3E"/>
    <w:rsid w:val="00375D09"/>
    <w:rsid w:val="003762DC"/>
    <w:rsid w:val="0037739D"/>
    <w:rsid w:val="0037751C"/>
    <w:rsid w:val="00377D61"/>
    <w:rsid w:val="00380B66"/>
    <w:rsid w:val="00380F3F"/>
    <w:rsid w:val="00381953"/>
    <w:rsid w:val="0038211C"/>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6FE"/>
    <w:rsid w:val="0039747B"/>
    <w:rsid w:val="00397AB6"/>
    <w:rsid w:val="00397ACA"/>
    <w:rsid w:val="003A10C3"/>
    <w:rsid w:val="003A2482"/>
    <w:rsid w:val="003A495D"/>
    <w:rsid w:val="003A4A40"/>
    <w:rsid w:val="003A4C7C"/>
    <w:rsid w:val="003A53EF"/>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B84"/>
    <w:rsid w:val="003D1D50"/>
    <w:rsid w:val="003D20F8"/>
    <w:rsid w:val="003D232D"/>
    <w:rsid w:val="003D286B"/>
    <w:rsid w:val="003D2938"/>
    <w:rsid w:val="003D3FBA"/>
    <w:rsid w:val="003D402B"/>
    <w:rsid w:val="003D54B0"/>
    <w:rsid w:val="003D764F"/>
    <w:rsid w:val="003D76EF"/>
    <w:rsid w:val="003D7EA4"/>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6BE"/>
    <w:rsid w:val="00406B4D"/>
    <w:rsid w:val="00410934"/>
    <w:rsid w:val="0041443C"/>
    <w:rsid w:val="0041488F"/>
    <w:rsid w:val="004154F7"/>
    <w:rsid w:val="00416157"/>
    <w:rsid w:val="004162E0"/>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5B1"/>
    <w:rsid w:val="00432110"/>
    <w:rsid w:val="004328EE"/>
    <w:rsid w:val="00433EBE"/>
    <w:rsid w:val="00434406"/>
    <w:rsid w:val="00440FED"/>
    <w:rsid w:val="00441B92"/>
    <w:rsid w:val="00443A9F"/>
    <w:rsid w:val="0044474B"/>
    <w:rsid w:val="00445FF7"/>
    <w:rsid w:val="00446639"/>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8A5"/>
    <w:rsid w:val="00474CA8"/>
    <w:rsid w:val="00474E43"/>
    <w:rsid w:val="004766DA"/>
    <w:rsid w:val="00476A55"/>
    <w:rsid w:val="0048076D"/>
    <w:rsid w:val="0048134D"/>
    <w:rsid w:val="00481624"/>
    <w:rsid w:val="00481765"/>
    <w:rsid w:val="00481D90"/>
    <w:rsid w:val="004820E3"/>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95"/>
    <w:rsid w:val="004A3CB5"/>
    <w:rsid w:val="004A537D"/>
    <w:rsid w:val="004A67F0"/>
    <w:rsid w:val="004A71C3"/>
    <w:rsid w:val="004A7769"/>
    <w:rsid w:val="004A77B1"/>
    <w:rsid w:val="004B1933"/>
    <w:rsid w:val="004B23AD"/>
    <w:rsid w:val="004B2965"/>
    <w:rsid w:val="004B3265"/>
    <w:rsid w:val="004B3545"/>
    <w:rsid w:val="004B4224"/>
    <w:rsid w:val="004B4297"/>
    <w:rsid w:val="004B4647"/>
    <w:rsid w:val="004B6B25"/>
    <w:rsid w:val="004B7455"/>
    <w:rsid w:val="004B74FF"/>
    <w:rsid w:val="004B7CE4"/>
    <w:rsid w:val="004B7E5F"/>
    <w:rsid w:val="004C0401"/>
    <w:rsid w:val="004C0C49"/>
    <w:rsid w:val="004C1096"/>
    <w:rsid w:val="004C183D"/>
    <w:rsid w:val="004C2958"/>
    <w:rsid w:val="004C394F"/>
    <w:rsid w:val="004C3EC7"/>
    <w:rsid w:val="004C3EEE"/>
    <w:rsid w:val="004C483D"/>
    <w:rsid w:val="004C49EA"/>
    <w:rsid w:val="004C4D15"/>
    <w:rsid w:val="004C6DA5"/>
    <w:rsid w:val="004C7810"/>
    <w:rsid w:val="004C795A"/>
    <w:rsid w:val="004C7F93"/>
    <w:rsid w:val="004D2431"/>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B88"/>
    <w:rsid w:val="004E784B"/>
    <w:rsid w:val="004F0224"/>
    <w:rsid w:val="004F0DB4"/>
    <w:rsid w:val="004F0E04"/>
    <w:rsid w:val="004F1CD3"/>
    <w:rsid w:val="004F1EBC"/>
    <w:rsid w:val="004F2013"/>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53D"/>
    <w:rsid w:val="00511CDF"/>
    <w:rsid w:val="00512231"/>
    <w:rsid w:val="0051249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E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2BB"/>
    <w:rsid w:val="0054486D"/>
    <w:rsid w:val="005453F3"/>
    <w:rsid w:val="00545549"/>
    <w:rsid w:val="005469F5"/>
    <w:rsid w:val="00546F36"/>
    <w:rsid w:val="005518ED"/>
    <w:rsid w:val="00552093"/>
    <w:rsid w:val="00553880"/>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B8"/>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2EF"/>
    <w:rsid w:val="00584320"/>
    <w:rsid w:val="00585484"/>
    <w:rsid w:val="00587229"/>
    <w:rsid w:val="00587503"/>
    <w:rsid w:val="00587F7F"/>
    <w:rsid w:val="00590E8D"/>
    <w:rsid w:val="00591511"/>
    <w:rsid w:val="00591E50"/>
    <w:rsid w:val="00592CDA"/>
    <w:rsid w:val="0059331A"/>
    <w:rsid w:val="00593A72"/>
    <w:rsid w:val="00593EE5"/>
    <w:rsid w:val="00595A8C"/>
    <w:rsid w:val="00595C2C"/>
    <w:rsid w:val="00596BBA"/>
    <w:rsid w:val="00597386"/>
    <w:rsid w:val="005975C4"/>
    <w:rsid w:val="00597ED8"/>
    <w:rsid w:val="005A17AE"/>
    <w:rsid w:val="005A2B20"/>
    <w:rsid w:val="005A34D5"/>
    <w:rsid w:val="005A3943"/>
    <w:rsid w:val="005A4904"/>
    <w:rsid w:val="005A515A"/>
    <w:rsid w:val="005A704D"/>
    <w:rsid w:val="005B0818"/>
    <w:rsid w:val="005B3C6D"/>
    <w:rsid w:val="005B4045"/>
    <w:rsid w:val="005B4091"/>
    <w:rsid w:val="005B609E"/>
    <w:rsid w:val="005B6DF6"/>
    <w:rsid w:val="005B7B6D"/>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5D82"/>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0F71"/>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461"/>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9D0"/>
    <w:rsid w:val="00675CF4"/>
    <w:rsid w:val="00676A64"/>
    <w:rsid w:val="00677925"/>
    <w:rsid w:val="006779BF"/>
    <w:rsid w:val="00680F46"/>
    <w:rsid w:val="00681FDC"/>
    <w:rsid w:val="00682B53"/>
    <w:rsid w:val="00682F27"/>
    <w:rsid w:val="006859DB"/>
    <w:rsid w:val="0068678D"/>
    <w:rsid w:val="00687488"/>
    <w:rsid w:val="006877D7"/>
    <w:rsid w:val="006904ED"/>
    <w:rsid w:val="00690E2E"/>
    <w:rsid w:val="006915D7"/>
    <w:rsid w:val="00692814"/>
    <w:rsid w:val="006932E7"/>
    <w:rsid w:val="00693347"/>
    <w:rsid w:val="0069334C"/>
    <w:rsid w:val="006948EF"/>
    <w:rsid w:val="00696D63"/>
    <w:rsid w:val="00697319"/>
    <w:rsid w:val="006A032F"/>
    <w:rsid w:val="006A0DD3"/>
    <w:rsid w:val="006A146E"/>
    <w:rsid w:val="006A1BEB"/>
    <w:rsid w:val="006A3022"/>
    <w:rsid w:val="006A41AE"/>
    <w:rsid w:val="006A4856"/>
    <w:rsid w:val="006A5474"/>
    <w:rsid w:val="006A564B"/>
    <w:rsid w:val="006A597C"/>
    <w:rsid w:val="006B05B5"/>
    <w:rsid w:val="006B1545"/>
    <w:rsid w:val="006B23B9"/>
    <w:rsid w:val="006B2BDF"/>
    <w:rsid w:val="006B2D3C"/>
    <w:rsid w:val="006B2DA7"/>
    <w:rsid w:val="006B2F4D"/>
    <w:rsid w:val="006B306B"/>
    <w:rsid w:val="006B3682"/>
    <w:rsid w:val="006B3974"/>
    <w:rsid w:val="006B48CB"/>
    <w:rsid w:val="006B564D"/>
    <w:rsid w:val="006B7F32"/>
    <w:rsid w:val="006C1445"/>
    <w:rsid w:val="006C3AB0"/>
    <w:rsid w:val="006C4FC1"/>
    <w:rsid w:val="006C51A5"/>
    <w:rsid w:val="006C529D"/>
    <w:rsid w:val="006C6798"/>
    <w:rsid w:val="006C6DF7"/>
    <w:rsid w:val="006D0826"/>
    <w:rsid w:val="006D0C12"/>
    <w:rsid w:val="006D0E6B"/>
    <w:rsid w:val="006D2146"/>
    <w:rsid w:val="006D632E"/>
    <w:rsid w:val="006D6C9C"/>
    <w:rsid w:val="006E0113"/>
    <w:rsid w:val="006E094A"/>
    <w:rsid w:val="006E12B1"/>
    <w:rsid w:val="006E13D1"/>
    <w:rsid w:val="006E22A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60D"/>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0B2"/>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37EEE"/>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144"/>
    <w:rsid w:val="00772569"/>
    <w:rsid w:val="00772E8C"/>
    <w:rsid w:val="00772FDB"/>
    <w:rsid w:val="0077316B"/>
    <w:rsid w:val="007736D3"/>
    <w:rsid w:val="00773FAA"/>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6FA"/>
    <w:rsid w:val="007D0C44"/>
    <w:rsid w:val="007D1972"/>
    <w:rsid w:val="007D1F33"/>
    <w:rsid w:val="007D3307"/>
    <w:rsid w:val="007D44CE"/>
    <w:rsid w:val="007D44DA"/>
    <w:rsid w:val="007D54F8"/>
    <w:rsid w:val="007D5E27"/>
    <w:rsid w:val="007D6F64"/>
    <w:rsid w:val="007D7CD2"/>
    <w:rsid w:val="007D7EE3"/>
    <w:rsid w:val="007E1782"/>
    <w:rsid w:val="007E25AB"/>
    <w:rsid w:val="007E2ECC"/>
    <w:rsid w:val="007E2F41"/>
    <w:rsid w:val="007E44FC"/>
    <w:rsid w:val="007E5A73"/>
    <w:rsid w:val="007E5AC2"/>
    <w:rsid w:val="007E79C5"/>
    <w:rsid w:val="007F0798"/>
    <w:rsid w:val="007F2845"/>
    <w:rsid w:val="007F2A69"/>
    <w:rsid w:val="007F38A2"/>
    <w:rsid w:val="007F43BC"/>
    <w:rsid w:val="007F4740"/>
    <w:rsid w:val="008006C6"/>
    <w:rsid w:val="00800A6D"/>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60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DB4"/>
    <w:rsid w:val="008409AA"/>
    <w:rsid w:val="00840FB8"/>
    <w:rsid w:val="00842E0C"/>
    <w:rsid w:val="00843A7A"/>
    <w:rsid w:val="008447F5"/>
    <w:rsid w:val="00844B29"/>
    <w:rsid w:val="008460E5"/>
    <w:rsid w:val="00846292"/>
    <w:rsid w:val="008506E1"/>
    <w:rsid w:val="00850D96"/>
    <w:rsid w:val="008515EE"/>
    <w:rsid w:val="00851A8E"/>
    <w:rsid w:val="00851EC7"/>
    <w:rsid w:val="008528D3"/>
    <w:rsid w:val="00854553"/>
    <w:rsid w:val="00855B86"/>
    <w:rsid w:val="00856D47"/>
    <w:rsid w:val="00860874"/>
    <w:rsid w:val="008609A3"/>
    <w:rsid w:val="00860FB1"/>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29F"/>
    <w:rsid w:val="008940F4"/>
    <w:rsid w:val="00894B58"/>
    <w:rsid w:val="00894FDC"/>
    <w:rsid w:val="00895391"/>
    <w:rsid w:val="008957D3"/>
    <w:rsid w:val="00896414"/>
    <w:rsid w:val="0089716F"/>
    <w:rsid w:val="00897C71"/>
    <w:rsid w:val="008A0F54"/>
    <w:rsid w:val="008A16F9"/>
    <w:rsid w:val="008A1D3E"/>
    <w:rsid w:val="008A3038"/>
    <w:rsid w:val="008A4B16"/>
    <w:rsid w:val="008A4CEF"/>
    <w:rsid w:val="008A4D63"/>
    <w:rsid w:val="008A4E11"/>
    <w:rsid w:val="008A6232"/>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6A2C"/>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5C1"/>
    <w:rsid w:val="00900343"/>
    <w:rsid w:val="009006A2"/>
    <w:rsid w:val="0090102B"/>
    <w:rsid w:val="00901448"/>
    <w:rsid w:val="009036BC"/>
    <w:rsid w:val="00903D30"/>
    <w:rsid w:val="009041AE"/>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19C"/>
    <w:rsid w:val="009213BD"/>
    <w:rsid w:val="009230A6"/>
    <w:rsid w:val="00924627"/>
    <w:rsid w:val="009250A8"/>
    <w:rsid w:val="00925BE6"/>
    <w:rsid w:val="00926697"/>
    <w:rsid w:val="00926F61"/>
    <w:rsid w:val="00926FA9"/>
    <w:rsid w:val="0093123D"/>
    <w:rsid w:val="00933040"/>
    <w:rsid w:val="009330E9"/>
    <w:rsid w:val="00934D97"/>
    <w:rsid w:val="00935D15"/>
    <w:rsid w:val="0094063D"/>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5A"/>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3D72"/>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734"/>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DC6"/>
    <w:rsid w:val="009D4F88"/>
    <w:rsid w:val="009D5193"/>
    <w:rsid w:val="009D5813"/>
    <w:rsid w:val="009D5C32"/>
    <w:rsid w:val="009D5C56"/>
    <w:rsid w:val="009D6472"/>
    <w:rsid w:val="009D79F4"/>
    <w:rsid w:val="009D7D19"/>
    <w:rsid w:val="009E0E99"/>
    <w:rsid w:val="009E126D"/>
    <w:rsid w:val="009E33D7"/>
    <w:rsid w:val="009E3734"/>
    <w:rsid w:val="009E3CD1"/>
    <w:rsid w:val="009E5520"/>
    <w:rsid w:val="009E5AF5"/>
    <w:rsid w:val="009E5EB5"/>
    <w:rsid w:val="009E74F0"/>
    <w:rsid w:val="009E7F23"/>
    <w:rsid w:val="009F0768"/>
    <w:rsid w:val="009F102A"/>
    <w:rsid w:val="009F151C"/>
    <w:rsid w:val="009F2A19"/>
    <w:rsid w:val="009F514E"/>
    <w:rsid w:val="009F6C3B"/>
    <w:rsid w:val="009F7867"/>
    <w:rsid w:val="009F7D66"/>
    <w:rsid w:val="00A00BD2"/>
    <w:rsid w:val="00A00E56"/>
    <w:rsid w:val="00A01317"/>
    <w:rsid w:val="00A027F3"/>
    <w:rsid w:val="00A03978"/>
    <w:rsid w:val="00A03AB1"/>
    <w:rsid w:val="00A04D7E"/>
    <w:rsid w:val="00A051D9"/>
    <w:rsid w:val="00A05DF3"/>
    <w:rsid w:val="00A06404"/>
    <w:rsid w:val="00A07E08"/>
    <w:rsid w:val="00A10D79"/>
    <w:rsid w:val="00A11535"/>
    <w:rsid w:val="00A11D16"/>
    <w:rsid w:val="00A11E56"/>
    <w:rsid w:val="00A11FFC"/>
    <w:rsid w:val="00A12798"/>
    <w:rsid w:val="00A13A09"/>
    <w:rsid w:val="00A13DD1"/>
    <w:rsid w:val="00A153BE"/>
    <w:rsid w:val="00A15DEE"/>
    <w:rsid w:val="00A16462"/>
    <w:rsid w:val="00A167B5"/>
    <w:rsid w:val="00A16DBE"/>
    <w:rsid w:val="00A179E0"/>
    <w:rsid w:val="00A17C4F"/>
    <w:rsid w:val="00A20653"/>
    <w:rsid w:val="00A20A39"/>
    <w:rsid w:val="00A20D7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7E8"/>
    <w:rsid w:val="00A67EFC"/>
    <w:rsid w:val="00A7031E"/>
    <w:rsid w:val="00A71140"/>
    <w:rsid w:val="00A7205E"/>
    <w:rsid w:val="00A74692"/>
    <w:rsid w:val="00A75A52"/>
    <w:rsid w:val="00A7618B"/>
    <w:rsid w:val="00A7640B"/>
    <w:rsid w:val="00A773A8"/>
    <w:rsid w:val="00A7778B"/>
    <w:rsid w:val="00A803BC"/>
    <w:rsid w:val="00A807EF"/>
    <w:rsid w:val="00A80969"/>
    <w:rsid w:val="00A811B5"/>
    <w:rsid w:val="00A82B51"/>
    <w:rsid w:val="00A85798"/>
    <w:rsid w:val="00A8609D"/>
    <w:rsid w:val="00A86CFF"/>
    <w:rsid w:val="00A86EA7"/>
    <w:rsid w:val="00A91244"/>
    <w:rsid w:val="00A91774"/>
    <w:rsid w:val="00A91C7F"/>
    <w:rsid w:val="00A92066"/>
    <w:rsid w:val="00A92776"/>
    <w:rsid w:val="00A93181"/>
    <w:rsid w:val="00A931B2"/>
    <w:rsid w:val="00A938E6"/>
    <w:rsid w:val="00A93CCF"/>
    <w:rsid w:val="00A94E4E"/>
    <w:rsid w:val="00A95514"/>
    <w:rsid w:val="00A95BD5"/>
    <w:rsid w:val="00A95C53"/>
    <w:rsid w:val="00A96F78"/>
    <w:rsid w:val="00A979E1"/>
    <w:rsid w:val="00AA0B9E"/>
    <w:rsid w:val="00AA1087"/>
    <w:rsid w:val="00AA2279"/>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91E"/>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572"/>
    <w:rsid w:val="00AE3DE1"/>
    <w:rsid w:val="00AE5439"/>
    <w:rsid w:val="00AE61B2"/>
    <w:rsid w:val="00AE78D1"/>
    <w:rsid w:val="00AE7F89"/>
    <w:rsid w:val="00AF2D54"/>
    <w:rsid w:val="00AF3458"/>
    <w:rsid w:val="00AF3F7B"/>
    <w:rsid w:val="00AF42B4"/>
    <w:rsid w:val="00AF4B8A"/>
    <w:rsid w:val="00AF4F1B"/>
    <w:rsid w:val="00AF5912"/>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D64"/>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84F"/>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C12"/>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B7AA5"/>
    <w:rsid w:val="00BC0058"/>
    <w:rsid w:val="00BC07D4"/>
    <w:rsid w:val="00BC0A5D"/>
    <w:rsid w:val="00BC0BE3"/>
    <w:rsid w:val="00BC1AD9"/>
    <w:rsid w:val="00BC3257"/>
    <w:rsid w:val="00BC32E7"/>
    <w:rsid w:val="00BC4F81"/>
    <w:rsid w:val="00BC5670"/>
    <w:rsid w:val="00BC58B9"/>
    <w:rsid w:val="00BD2643"/>
    <w:rsid w:val="00BD2F13"/>
    <w:rsid w:val="00BD3056"/>
    <w:rsid w:val="00BD3846"/>
    <w:rsid w:val="00BD3E68"/>
    <w:rsid w:val="00BD4085"/>
    <w:rsid w:val="00BD4E05"/>
    <w:rsid w:val="00BD598A"/>
    <w:rsid w:val="00BD5C7A"/>
    <w:rsid w:val="00BD708E"/>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423"/>
    <w:rsid w:val="00BF2E53"/>
    <w:rsid w:val="00BF352A"/>
    <w:rsid w:val="00BF3669"/>
    <w:rsid w:val="00BF3C0D"/>
    <w:rsid w:val="00BF4BC7"/>
    <w:rsid w:val="00BF6252"/>
    <w:rsid w:val="00BF711C"/>
    <w:rsid w:val="00BF748E"/>
    <w:rsid w:val="00BF789B"/>
    <w:rsid w:val="00C03309"/>
    <w:rsid w:val="00C0343F"/>
    <w:rsid w:val="00C037E0"/>
    <w:rsid w:val="00C072FE"/>
    <w:rsid w:val="00C11ADE"/>
    <w:rsid w:val="00C126E0"/>
    <w:rsid w:val="00C128BC"/>
    <w:rsid w:val="00C12E39"/>
    <w:rsid w:val="00C13D47"/>
    <w:rsid w:val="00C14164"/>
    <w:rsid w:val="00C14C53"/>
    <w:rsid w:val="00C15D8E"/>
    <w:rsid w:val="00C16155"/>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508"/>
    <w:rsid w:val="00C4171B"/>
    <w:rsid w:val="00C42689"/>
    <w:rsid w:val="00C42988"/>
    <w:rsid w:val="00C42BD4"/>
    <w:rsid w:val="00C43FF0"/>
    <w:rsid w:val="00C44124"/>
    <w:rsid w:val="00C44556"/>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A5C"/>
    <w:rsid w:val="00C57A01"/>
    <w:rsid w:val="00C57A2D"/>
    <w:rsid w:val="00C60B07"/>
    <w:rsid w:val="00C61D4B"/>
    <w:rsid w:val="00C62B0A"/>
    <w:rsid w:val="00C63C52"/>
    <w:rsid w:val="00C63F08"/>
    <w:rsid w:val="00C6528C"/>
    <w:rsid w:val="00C66130"/>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151"/>
    <w:rsid w:val="00C815DF"/>
    <w:rsid w:val="00C81819"/>
    <w:rsid w:val="00C81A25"/>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C1B"/>
    <w:rsid w:val="00CA5C5C"/>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915"/>
    <w:rsid w:val="00CD078F"/>
    <w:rsid w:val="00CD121E"/>
    <w:rsid w:val="00CD185D"/>
    <w:rsid w:val="00CD201F"/>
    <w:rsid w:val="00CD28F0"/>
    <w:rsid w:val="00CD3ED8"/>
    <w:rsid w:val="00CD497A"/>
    <w:rsid w:val="00CD761D"/>
    <w:rsid w:val="00CD76B5"/>
    <w:rsid w:val="00CD78B9"/>
    <w:rsid w:val="00CE1D01"/>
    <w:rsid w:val="00CE2323"/>
    <w:rsid w:val="00CE2346"/>
    <w:rsid w:val="00CE6F0F"/>
    <w:rsid w:val="00CE76FA"/>
    <w:rsid w:val="00CF002F"/>
    <w:rsid w:val="00CF0246"/>
    <w:rsid w:val="00CF08CD"/>
    <w:rsid w:val="00CF183D"/>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D21"/>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2A7"/>
    <w:rsid w:val="00D77413"/>
    <w:rsid w:val="00D80B04"/>
    <w:rsid w:val="00D81F10"/>
    <w:rsid w:val="00D82798"/>
    <w:rsid w:val="00D82BF2"/>
    <w:rsid w:val="00D84A57"/>
    <w:rsid w:val="00D84D87"/>
    <w:rsid w:val="00D87307"/>
    <w:rsid w:val="00D874DF"/>
    <w:rsid w:val="00D87A12"/>
    <w:rsid w:val="00D92F4E"/>
    <w:rsid w:val="00D930E1"/>
    <w:rsid w:val="00D9354D"/>
    <w:rsid w:val="00D9415C"/>
    <w:rsid w:val="00D942CC"/>
    <w:rsid w:val="00D944E4"/>
    <w:rsid w:val="00D94D87"/>
    <w:rsid w:val="00D95B31"/>
    <w:rsid w:val="00D95DCC"/>
    <w:rsid w:val="00D962DC"/>
    <w:rsid w:val="00DA180C"/>
    <w:rsid w:val="00DA18A2"/>
    <w:rsid w:val="00DA3CFA"/>
    <w:rsid w:val="00DA3E7B"/>
    <w:rsid w:val="00DA3F17"/>
    <w:rsid w:val="00DA418E"/>
    <w:rsid w:val="00DA4419"/>
    <w:rsid w:val="00DA451D"/>
    <w:rsid w:val="00DA46BF"/>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6C8E"/>
    <w:rsid w:val="00DC7255"/>
    <w:rsid w:val="00DC72CE"/>
    <w:rsid w:val="00DC7951"/>
    <w:rsid w:val="00DD1C4B"/>
    <w:rsid w:val="00DD1F7B"/>
    <w:rsid w:val="00DD229E"/>
    <w:rsid w:val="00DD3029"/>
    <w:rsid w:val="00DD55E0"/>
    <w:rsid w:val="00DD6C81"/>
    <w:rsid w:val="00DD6E57"/>
    <w:rsid w:val="00DE18A3"/>
    <w:rsid w:val="00DE1904"/>
    <w:rsid w:val="00DE1DAA"/>
    <w:rsid w:val="00DE3742"/>
    <w:rsid w:val="00DE3DBB"/>
    <w:rsid w:val="00DE43A2"/>
    <w:rsid w:val="00DE4A74"/>
    <w:rsid w:val="00DE4B05"/>
    <w:rsid w:val="00DE4EE9"/>
    <w:rsid w:val="00DE541C"/>
    <w:rsid w:val="00DE737B"/>
    <w:rsid w:val="00DF100B"/>
    <w:rsid w:val="00DF11B7"/>
    <w:rsid w:val="00DF4359"/>
    <w:rsid w:val="00DF5361"/>
    <w:rsid w:val="00DF73C1"/>
    <w:rsid w:val="00DF7511"/>
    <w:rsid w:val="00DF7751"/>
    <w:rsid w:val="00E009B1"/>
    <w:rsid w:val="00E00BC3"/>
    <w:rsid w:val="00E011D7"/>
    <w:rsid w:val="00E031BB"/>
    <w:rsid w:val="00E0417B"/>
    <w:rsid w:val="00E0576C"/>
    <w:rsid w:val="00E068BC"/>
    <w:rsid w:val="00E06D8E"/>
    <w:rsid w:val="00E073F0"/>
    <w:rsid w:val="00E10761"/>
    <w:rsid w:val="00E11D7A"/>
    <w:rsid w:val="00E11EEB"/>
    <w:rsid w:val="00E128F2"/>
    <w:rsid w:val="00E13E5A"/>
    <w:rsid w:val="00E13EE4"/>
    <w:rsid w:val="00E16463"/>
    <w:rsid w:val="00E16F82"/>
    <w:rsid w:val="00E17F6F"/>
    <w:rsid w:val="00E20B20"/>
    <w:rsid w:val="00E222E5"/>
    <w:rsid w:val="00E239D1"/>
    <w:rsid w:val="00E246B9"/>
    <w:rsid w:val="00E250C5"/>
    <w:rsid w:val="00E26727"/>
    <w:rsid w:val="00E26970"/>
    <w:rsid w:val="00E2728F"/>
    <w:rsid w:val="00E27791"/>
    <w:rsid w:val="00E30F2D"/>
    <w:rsid w:val="00E319DB"/>
    <w:rsid w:val="00E31AFC"/>
    <w:rsid w:val="00E320F1"/>
    <w:rsid w:val="00E322D6"/>
    <w:rsid w:val="00E3250F"/>
    <w:rsid w:val="00E3409E"/>
    <w:rsid w:val="00E34F76"/>
    <w:rsid w:val="00E37BE5"/>
    <w:rsid w:val="00E41A27"/>
    <w:rsid w:val="00E41AB4"/>
    <w:rsid w:val="00E42737"/>
    <w:rsid w:val="00E436C8"/>
    <w:rsid w:val="00E44906"/>
    <w:rsid w:val="00E45C77"/>
    <w:rsid w:val="00E4608B"/>
    <w:rsid w:val="00E46D7F"/>
    <w:rsid w:val="00E501D3"/>
    <w:rsid w:val="00E528E6"/>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1C7"/>
    <w:rsid w:val="00E76034"/>
    <w:rsid w:val="00E80440"/>
    <w:rsid w:val="00E817E0"/>
    <w:rsid w:val="00E82EE4"/>
    <w:rsid w:val="00E831E7"/>
    <w:rsid w:val="00E843B5"/>
    <w:rsid w:val="00E84A3B"/>
    <w:rsid w:val="00E85307"/>
    <w:rsid w:val="00E85B0A"/>
    <w:rsid w:val="00E87742"/>
    <w:rsid w:val="00E907E4"/>
    <w:rsid w:val="00E90A24"/>
    <w:rsid w:val="00E90C34"/>
    <w:rsid w:val="00E9195C"/>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306"/>
    <w:rsid w:val="00EA4C04"/>
    <w:rsid w:val="00EA4EC9"/>
    <w:rsid w:val="00EA568E"/>
    <w:rsid w:val="00EA5E0F"/>
    <w:rsid w:val="00EA6FE4"/>
    <w:rsid w:val="00EA798D"/>
    <w:rsid w:val="00EA7F4C"/>
    <w:rsid w:val="00EB1AA5"/>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619"/>
    <w:rsid w:val="00EE5A27"/>
    <w:rsid w:val="00EE6E77"/>
    <w:rsid w:val="00EE76A9"/>
    <w:rsid w:val="00EE799E"/>
    <w:rsid w:val="00EE7CA8"/>
    <w:rsid w:val="00EE7FA7"/>
    <w:rsid w:val="00EF0322"/>
    <w:rsid w:val="00EF1093"/>
    <w:rsid w:val="00EF1FCB"/>
    <w:rsid w:val="00EF21C3"/>
    <w:rsid w:val="00EF2C14"/>
    <w:rsid w:val="00EF2E6B"/>
    <w:rsid w:val="00EF3303"/>
    <w:rsid w:val="00EF434A"/>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4E5"/>
    <w:rsid w:val="00F242AD"/>
    <w:rsid w:val="00F247F2"/>
    <w:rsid w:val="00F2518F"/>
    <w:rsid w:val="00F252A8"/>
    <w:rsid w:val="00F255D9"/>
    <w:rsid w:val="00F262A4"/>
    <w:rsid w:val="00F265F7"/>
    <w:rsid w:val="00F273FC"/>
    <w:rsid w:val="00F27FA6"/>
    <w:rsid w:val="00F33DC8"/>
    <w:rsid w:val="00F34444"/>
    <w:rsid w:val="00F378F1"/>
    <w:rsid w:val="00F403A1"/>
    <w:rsid w:val="00F403DB"/>
    <w:rsid w:val="00F4065A"/>
    <w:rsid w:val="00F416FA"/>
    <w:rsid w:val="00F4275C"/>
    <w:rsid w:val="00F434B2"/>
    <w:rsid w:val="00F45693"/>
    <w:rsid w:val="00F52339"/>
    <w:rsid w:val="00F5277A"/>
    <w:rsid w:val="00F532E8"/>
    <w:rsid w:val="00F537FF"/>
    <w:rsid w:val="00F549B8"/>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3A7"/>
    <w:rsid w:val="00F75330"/>
    <w:rsid w:val="00F75B66"/>
    <w:rsid w:val="00F76BD9"/>
    <w:rsid w:val="00F80318"/>
    <w:rsid w:val="00F803D0"/>
    <w:rsid w:val="00F80703"/>
    <w:rsid w:val="00F80948"/>
    <w:rsid w:val="00F81387"/>
    <w:rsid w:val="00F82134"/>
    <w:rsid w:val="00F822E3"/>
    <w:rsid w:val="00F82838"/>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6DB"/>
    <w:rsid w:val="00FA2743"/>
    <w:rsid w:val="00FA2C35"/>
    <w:rsid w:val="00FA31E7"/>
    <w:rsid w:val="00FA3D36"/>
    <w:rsid w:val="00FA413A"/>
    <w:rsid w:val="00FA4144"/>
    <w:rsid w:val="00FA4415"/>
    <w:rsid w:val="00FA4DDF"/>
    <w:rsid w:val="00FA5C71"/>
    <w:rsid w:val="00FA645E"/>
    <w:rsid w:val="00FA6A01"/>
    <w:rsid w:val="00FA6E7F"/>
    <w:rsid w:val="00FA7114"/>
    <w:rsid w:val="00FB052D"/>
    <w:rsid w:val="00FB0ACF"/>
    <w:rsid w:val="00FB22D7"/>
    <w:rsid w:val="00FB2379"/>
    <w:rsid w:val="00FB3264"/>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ED5"/>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743"/>
    <w:pPr>
      <w:overflowPunct w:val="0"/>
      <w:autoSpaceDE w:val="0"/>
      <w:autoSpaceDN w:val="0"/>
      <w:adjustRightInd w:val="0"/>
      <w:spacing w:after="180"/>
      <w:textAlignment w:val="baseline"/>
    </w:pPr>
    <w:rPr>
      <w:rFonts w:ascii="Times New Roman" w:hAnsi="Times New Roman"/>
      <w:sz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DF536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DF5361"/>
    <w:rPr>
      <w:rFonts w:ascii="Times New Roman" w:hAnsi="Times New Roman"/>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02702A"/>
    <w:pPr>
      <w:overflowPunct/>
      <w:autoSpaceDE/>
      <w:autoSpaceDN/>
      <w:adjustRightInd/>
      <w:spacing w:after="0"/>
      <w:textAlignment w:val="auto"/>
    </w:pPr>
    <w:rPr>
      <w:rFonts w:asciiTheme="minorHAnsi" w:eastAsia="Times New Roman" w:hAnsiTheme="minorHAnsi"/>
      <w:i/>
      <w:i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5AIRPNAIUNRU-1830940522-9351</_dlc_DocId>
    <_dlc_DocIdUrl xmlns="71c5aaf6-e6ce-465b-b873-5148d2a4c105">
      <Url>https://nokia.sharepoint.com/sites/c5g/5gradio/_layouts/15/DocIdRedir.aspx?ID=5AIRPNAIUNRU-1830940522-9351</Url>
      <Description>5AIRPNAIUNRU-1830940522-9351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30DB81-6EDA-4194-9502-77D11254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256</TotalTime>
  <Pages>6</Pages>
  <Words>2462</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6th round</cp:lastModifiedBy>
  <cp:revision>16</cp:revision>
  <cp:lastPrinted>2016-06-20T11:35:00Z</cp:lastPrinted>
  <dcterms:created xsi:type="dcterms:W3CDTF">2021-01-18T10:58:00Z</dcterms:created>
  <dcterms:modified xsi:type="dcterms:W3CDTF">2021-01-18T18:29:00Z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19e80264-558a-4452-9e8c-5cd551129081</vt:lpwstr>
  </property>
</Properties>
</file>